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96226" w14:textId="77777777" w:rsidR="003B4ADD" w:rsidRPr="00F92908" w:rsidRDefault="003B4ADD">
      <w:pPr>
        <w:jc w:val="both"/>
        <w:rPr>
          <w:i/>
        </w:rPr>
      </w:pPr>
      <w:r w:rsidRPr="00F92908">
        <w:rPr>
          <w:i/>
        </w:rPr>
        <w:t xml:space="preserve">Draft letter to be used by parties who have already signed </w:t>
      </w:r>
      <w:r w:rsidR="00865FC8">
        <w:rPr>
          <w:i/>
        </w:rPr>
        <w:t>NBP</w:t>
      </w:r>
      <w:r w:rsidRPr="00F92908">
        <w:rPr>
          <w:i/>
        </w:rPr>
        <w:t xml:space="preserve"> Appendi</w:t>
      </w:r>
      <w:r w:rsidR="00FE208C">
        <w:rPr>
          <w:i/>
        </w:rPr>
        <w:t xml:space="preserve">x (Version </w:t>
      </w:r>
      <w:r w:rsidR="00865FC8">
        <w:rPr>
          <w:i/>
        </w:rPr>
        <w:t>1</w:t>
      </w:r>
      <w:r w:rsidR="00FE208C">
        <w:rPr>
          <w:i/>
        </w:rPr>
        <w:t>.0/</w:t>
      </w:r>
      <w:r w:rsidR="00865FC8">
        <w:rPr>
          <w:i/>
        </w:rPr>
        <w:t xml:space="preserve">December, </w:t>
      </w:r>
      <w:r w:rsidR="00FE208C">
        <w:rPr>
          <w:i/>
        </w:rPr>
        <w:t>20</w:t>
      </w:r>
      <w:r w:rsidR="00B077F3">
        <w:rPr>
          <w:i/>
        </w:rPr>
        <w:t>0</w:t>
      </w:r>
      <w:r w:rsidR="00865FC8">
        <w:rPr>
          <w:i/>
        </w:rPr>
        <w:t>6</w:t>
      </w:r>
      <w:r w:rsidR="00FE208C">
        <w:rPr>
          <w:i/>
        </w:rPr>
        <w:t>)</w:t>
      </w:r>
      <w:r w:rsidR="00B077F3">
        <w:rPr>
          <w:i/>
        </w:rPr>
        <w:t xml:space="preserve"> </w:t>
      </w:r>
    </w:p>
    <w:p w14:paraId="4E373348" w14:textId="77777777" w:rsidR="00FE4062" w:rsidRDefault="00FE4062" w:rsidP="00FE4062">
      <w:pPr>
        <w:jc w:val="center"/>
        <w:rPr>
          <w:b/>
          <w:sz w:val="22"/>
          <w:szCs w:val="22"/>
        </w:rPr>
      </w:pPr>
    </w:p>
    <w:p w14:paraId="36B72514" w14:textId="77777777" w:rsidR="00FE4062" w:rsidRPr="00C316A6" w:rsidRDefault="00FE4062" w:rsidP="00FE4062">
      <w:pPr>
        <w:jc w:val="center"/>
        <w:rPr>
          <w:b/>
          <w:sz w:val="22"/>
          <w:szCs w:val="22"/>
        </w:rPr>
      </w:pPr>
      <w:r w:rsidRPr="00C316A6">
        <w:rPr>
          <w:b/>
          <w:sz w:val="22"/>
          <w:szCs w:val="22"/>
        </w:rPr>
        <w:t>[LETTERHEAD OF SIGNATORY]</w:t>
      </w:r>
    </w:p>
    <w:p w14:paraId="2B163487" w14:textId="77777777" w:rsidR="00FE4062" w:rsidRPr="00C316A6" w:rsidRDefault="00FE4062" w:rsidP="00FE4062">
      <w:pPr>
        <w:jc w:val="both"/>
        <w:rPr>
          <w:sz w:val="22"/>
          <w:szCs w:val="22"/>
        </w:rPr>
      </w:pPr>
    </w:p>
    <w:p w14:paraId="0DE9E4BB" w14:textId="77777777" w:rsidR="00FE4062" w:rsidRPr="00C316A6" w:rsidRDefault="00FE4062" w:rsidP="00FE4062">
      <w:pPr>
        <w:jc w:val="both"/>
        <w:rPr>
          <w:sz w:val="22"/>
          <w:szCs w:val="22"/>
        </w:rPr>
      </w:pPr>
    </w:p>
    <w:p w14:paraId="60F88A8F" w14:textId="77777777" w:rsidR="00FE4062" w:rsidRPr="00C316A6" w:rsidRDefault="00FE4062" w:rsidP="00FE4062">
      <w:pPr>
        <w:jc w:val="both"/>
        <w:rPr>
          <w:sz w:val="22"/>
          <w:szCs w:val="22"/>
        </w:rPr>
      </w:pPr>
      <w:r w:rsidRPr="00C316A6">
        <w:rPr>
          <w:sz w:val="22"/>
          <w:szCs w:val="22"/>
        </w:rPr>
        <w:t>[Insert counterparty contact details]</w:t>
      </w:r>
    </w:p>
    <w:p w14:paraId="39E88BBB" w14:textId="77777777" w:rsidR="00FE4062" w:rsidRPr="00C316A6" w:rsidRDefault="00FE4062" w:rsidP="00FE4062">
      <w:pPr>
        <w:jc w:val="both"/>
        <w:rPr>
          <w:sz w:val="22"/>
          <w:szCs w:val="22"/>
        </w:rPr>
      </w:pPr>
    </w:p>
    <w:p w14:paraId="29456179" w14:textId="77777777" w:rsidR="00FE4062" w:rsidRPr="00C316A6" w:rsidRDefault="00FE4062" w:rsidP="00FE4062">
      <w:pPr>
        <w:jc w:val="both"/>
        <w:rPr>
          <w:sz w:val="22"/>
          <w:szCs w:val="22"/>
        </w:rPr>
      </w:pPr>
    </w:p>
    <w:p w14:paraId="65B91EF2" w14:textId="77777777" w:rsidR="00FE4062" w:rsidRPr="00C316A6" w:rsidRDefault="00FE4062" w:rsidP="00FE4062">
      <w:pPr>
        <w:jc w:val="both"/>
        <w:rPr>
          <w:sz w:val="22"/>
          <w:szCs w:val="22"/>
        </w:rPr>
      </w:pPr>
    </w:p>
    <w:p w14:paraId="09E50867" w14:textId="77777777" w:rsidR="00FE4062" w:rsidRPr="00C316A6" w:rsidRDefault="00FE4062" w:rsidP="00FE4062">
      <w:pPr>
        <w:jc w:val="right"/>
        <w:rPr>
          <w:sz w:val="22"/>
          <w:szCs w:val="22"/>
        </w:rPr>
      </w:pPr>
      <w:r w:rsidRPr="00C316A6">
        <w:rPr>
          <w:sz w:val="22"/>
          <w:szCs w:val="22"/>
        </w:rPr>
        <w:tab/>
      </w:r>
      <w:r w:rsidRPr="00C316A6">
        <w:rPr>
          <w:sz w:val="22"/>
          <w:szCs w:val="22"/>
        </w:rPr>
        <w:tab/>
      </w:r>
      <w:r w:rsidRPr="00C316A6">
        <w:rPr>
          <w:sz w:val="22"/>
          <w:szCs w:val="22"/>
        </w:rPr>
        <w:tab/>
      </w:r>
      <w:r w:rsidRPr="00C316A6">
        <w:rPr>
          <w:sz w:val="22"/>
          <w:szCs w:val="22"/>
        </w:rPr>
        <w:tab/>
      </w:r>
      <w:r w:rsidRPr="00C316A6">
        <w:rPr>
          <w:sz w:val="22"/>
          <w:szCs w:val="22"/>
        </w:rPr>
        <w:tab/>
      </w:r>
      <w:r w:rsidRPr="00C316A6">
        <w:rPr>
          <w:sz w:val="22"/>
          <w:szCs w:val="22"/>
        </w:rPr>
        <w:tab/>
      </w:r>
      <w:r w:rsidRPr="00C316A6">
        <w:rPr>
          <w:sz w:val="22"/>
          <w:szCs w:val="22"/>
        </w:rPr>
        <w:tab/>
      </w:r>
      <w:r w:rsidRPr="00C316A6">
        <w:rPr>
          <w:sz w:val="22"/>
          <w:szCs w:val="22"/>
        </w:rPr>
        <w:tab/>
      </w:r>
      <w:r w:rsidRPr="00C316A6">
        <w:rPr>
          <w:sz w:val="22"/>
          <w:szCs w:val="22"/>
        </w:rPr>
        <w:tab/>
      </w:r>
      <w:r w:rsidRPr="00C316A6">
        <w:rPr>
          <w:sz w:val="22"/>
          <w:szCs w:val="22"/>
        </w:rPr>
        <w:tab/>
      </w:r>
      <w:r w:rsidRPr="00C316A6">
        <w:rPr>
          <w:sz w:val="22"/>
          <w:szCs w:val="22"/>
        </w:rPr>
        <w:tab/>
      </w:r>
      <w:r w:rsidRPr="00C316A6">
        <w:rPr>
          <w:sz w:val="22"/>
          <w:szCs w:val="22"/>
        </w:rPr>
        <w:tab/>
        <w:t>[</w:t>
      </w:r>
      <w:r>
        <w:rPr>
          <w:sz w:val="22"/>
          <w:szCs w:val="22"/>
        </w:rPr>
        <w:t xml:space="preserve">Insert </w:t>
      </w:r>
      <w:r w:rsidRPr="00C316A6">
        <w:rPr>
          <w:sz w:val="22"/>
          <w:szCs w:val="22"/>
        </w:rPr>
        <w:t>Date]</w:t>
      </w:r>
    </w:p>
    <w:p w14:paraId="32800CC5" w14:textId="77777777" w:rsidR="00FE4062" w:rsidRPr="00C316A6" w:rsidRDefault="00FE4062" w:rsidP="00FE4062">
      <w:pPr>
        <w:jc w:val="both"/>
        <w:rPr>
          <w:sz w:val="22"/>
          <w:szCs w:val="22"/>
        </w:rPr>
      </w:pPr>
    </w:p>
    <w:p w14:paraId="7576A1A1" w14:textId="77777777" w:rsidR="00FE4062" w:rsidRPr="00C316A6" w:rsidRDefault="00FE4062" w:rsidP="00FE4062">
      <w:pPr>
        <w:jc w:val="both"/>
        <w:rPr>
          <w:sz w:val="22"/>
          <w:szCs w:val="22"/>
        </w:rPr>
      </w:pPr>
      <w:r w:rsidRPr="00C316A6">
        <w:rPr>
          <w:sz w:val="22"/>
          <w:szCs w:val="22"/>
        </w:rPr>
        <w:t xml:space="preserve">Dear </w:t>
      </w:r>
      <w:r w:rsidR="0017552E">
        <w:rPr>
          <w:sz w:val="22"/>
          <w:szCs w:val="22"/>
        </w:rPr>
        <w:t>Sirs</w:t>
      </w:r>
    </w:p>
    <w:p w14:paraId="632382F0" w14:textId="77777777" w:rsidR="00FE4062" w:rsidRPr="00C316A6" w:rsidRDefault="00FE4062" w:rsidP="00FE4062">
      <w:pPr>
        <w:jc w:val="both"/>
        <w:rPr>
          <w:sz w:val="22"/>
          <w:szCs w:val="22"/>
        </w:rPr>
      </w:pPr>
    </w:p>
    <w:p w14:paraId="64632F4A" w14:textId="77777777" w:rsidR="007A7522" w:rsidRPr="00F92908" w:rsidRDefault="007A7522">
      <w:pPr>
        <w:jc w:val="both"/>
      </w:pPr>
    </w:p>
    <w:p w14:paraId="4C1A1E9F" w14:textId="77777777" w:rsidR="00B077F3" w:rsidRDefault="007A7522" w:rsidP="00B077F3">
      <w:pPr>
        <w:pStyle w:val="BodyTextIndent"/>
        <w:ind w:left="0" w:firstLine="0"/>
        <w:jc w:val="both"/>
        <w:rPr>
          <w:b/>
          <w:bCs/>
        </w:rPr>
      </w:pPr>
      <w:r w:rsidRPr="00F92908">
        <w:rPr>
          <w:b/>
          <w:bCs/>
        </w:rPr>
        <w:t xml:space="preserve">Re: </w:t>
      </w:r>
      <w:r w:rsidR="00FE4062">
        <w:rPr>
          <w:b/>
          <w:bCs/>
        </w:rPr>
        <w:t>Amendments to</w:t>
      </w:r>
      <w:r w:rsidR="00FE208C">
        <w:rPr>
          <w:b/>
          <w:bCs/>
        </w:rPr>
        <w:t xml:space="preserve"> </w:t>
      </w:r>
      <w:r w:rsidR="00075ED1">
        <w:rPr>
          <w:b/>
          <w:bCs/>
        </w:rPr>
        <w:t>NBP</w:t>
      </w:r>
      <w:r w:rsidRPr="00F92908">
        <w:rPr>
          <w:b/>
          <w:bCs/>
        </w:rPr>
        <w:t xml:space="preserve"> Appendix</w:t>
      </w:r>
      <w:r w:rsidR="005033ED" w:rsidRPr="005033ED">
        <w:rPr>
          <w:b/>
          <w:bCs/>
        </w:rPr>
        <w:t xml:space="preserve"> </w:t>
      </w:r>
      <w:r w:rsidR="005033ED">
        <w:rPr>
          <w:b/>
          <w:bCs/>
        </w:rPr>
        <w:t>(</w:t>
      </w:r>
      <w:r w:rsidR="005033ED" w:rsidRPr="00F92908">
        <w:rPr>
          <w:b/>
          <w:bCs/>
        </w:rPr>
        <w:t xml:space="preserve">Version </w:t>
      </w:r>
      <w:r w:rsidR="00075ED1">
        <w:rPr>
          <w:b/>
          <w:bCs/>
        </w:rPr>
        <w:t>1</w:t>
      </w:r>
      <w:r w:rsidR="005033ED" w:rsidRPr="00F92908">
        <w:rPr>
          <w:b/>
          <w:bCs/>
        </w:rPr>
        <w:t>.0</w:t>
      </w:r>
      <w:r w:rsidR="00FE208C">
        <w:rPr>
          <w:b/>
          <w:bCs/>
        </w:rPr>
        <w:t>/</w:t>
      </w:r>
      <w:r w:rsidR="00075ED1">
        <w:rPr>
          <w:b/>
          <w:bCs/>
        </w:rPr>
        <w:t>December</w:t>
      </w:r>
      <w:r w:rsidR="00B077F3">
        <w:rPr>
          <w:b/>
          <w:bCs/>
        </w:rPr>
        <w:t>, 200</w:t>
      </w:r>
      <w:r w:rsidR="00075ED1">
        <w:rPr>
          <w:b/>
          <w:bCs/>
        </w:rPr>
        <w:t>6</w:t>
      </w:r>
      <w:r w:rsidR="005033ED">
        <w:rPr>
          <w:b/>
          <w:bCs/>
        </w:rPr>
        <w:t>)</w:t>
      </w:r>
      <w:r w:rsidR="005033ED" w:rsidRPr="00F92908">
        <w:rPr>
          <w:b/>
          <w:bCs/>
        </w:rPr>
        <w:t xml:space="preserve"> </w:t>
      </w:r>
      <w:r w:rsidR="001036A7" w:rsidRPr="00F92908">
        <w:rPr>
          <w:b/>
          <w:bCs/>
        </w:rPr>
        <w:t>(the "</w:t>
      </w:r>
      <w:r w:rsidR="00075ED1">
        <w:rPr>
          <w:b/>
          <w:bCs/>
        </w:rPr>
        <w:t>NBP</w:t>
      </w:r>
      <w:r w:rsidR="001036A7" w:rsidRPr="00F92908">
        <w:rPr>
          <w:b/>
          <w:bCs/>
        </w:rPr>
        <w:t xml:space="preserve"> Appendix")</w:t>
      </w:r>
      <w:r w:rsidR="001036A7">
        <w:rPr>
          <w:b/>
          <w:bCs/>
        </w:rPr>
        <w:t xml:space="preserve"> </w:t>
      </w:r>
      <w:r w:rsidRPr="00F92908">
        <w:rPr>
          <w:b/>
          <w:bCs/>
        </w:rPr>
        <w:t>to</w:t>
      </w:r>
      <w:r w:rsidR="00FE208C">
        <w:rPr>
          <w:b/>
          <w:bCs/>
        </w:rPr>
        <w:t xml:space="preserve"> </w:t>
      </w:r>
      <w:r w:rsidR="00B077F3">
        <w:rPr>
          <w:b/>
          <w:bCs/>
        </w:rPr>
        <w:t>a</w:t>
      </w:r>
      <w:r w:rsidR="00FE208C">
        <w:rPr>
          <w:b/>
          <w:bCs/>
        </w:rPr>
        <w:t xml:space="preserve"> </w:t>
      </w:r>
      <w:r w:rsidRPr="00F92908">
        <w:rPr>
          <w:b/>
          <w:bCs/>
        </w:rPr>
        <w:t>European Federation of Energy Trad</w:t>
      </w:r>
      <w:r w:rsidR="00FE208C">
        <w:rPr>
          <w:b/>
          <w:bCs/>
        </w:rPr>
        <w:t>ers</w:t>
      </w:r>
      <w:r w:rsidRPr="00F92908">
        <w:rPr>
          <w:b/>
          <w:bCs/>
        </w:rPr>
        <w:t xml:space="preserve"> </w:t>
      </w:r>
      <w:r w:rsidR="00BB4B29">
        <w:rPr>
          <w:b/>
          <w:bCs/>
        </w:rPr>
        <w:t>(</w:t>
      </w:r>
      <w:r w:rsidR="00D367DF" w:rsidRPr="00F92908">
        <w:rPr>
          <w:b/>
          <w:bCs/>
        </w:rPr>
        <w:t>"</w:t>
      </w:r>
      <w:r w:rsidRPr="00F92908">
        <w:rPr>
          <w:b/>
          <w:bCs/>
        </w:rPr>
        <w:t>EFET</w:t>
      </w:r>
      <w:r w:rsidR="00D367DF" w:rsidRPr="00F92908">
        <w:rPr>
          <w:b/>
          <w:bCs/>
        </w:rPr>
        <w:t>"</w:t>
      </w:r>
      <w:r w:rsidRPr="00F92908">
        <w:rPr>
          <w:b/>
          <w:bCs/>
        </w:rPr>
        <w:t xml:space="preserve">) General Agreement </w:t>
      </w:r>
      <w:r w:rsidR="00FE208C">
        <w:rPr>
          <w:b/>
          <w:bCs/>
        </w:rPr>
        <w:t>C</w:t>
      </w:r>
      <w:r w:rsidRPr="00F92908">
        <w:rPr>
          <w:b/>
          <w:bCs/>
        </w:rPr>
        <w:t xml:space="preserve">oncerning the Delivery and Acceptance of Natural Gas </w:t>
      </w:r>
      <w:r w:rsidR="00FE208C">
        <w:rPr>
          <w:b/>
          <w:bCs/>
        </w:rPr>
        <w:t xml:space="preserve">between the Parties </w:t>
      </w:r>
    </w:p>
    <w:p w14:paraId="21159374" w14:textId="77777777" w:rsidR="00DC7660" w:rsidRDefault="00DC7660" w:rsidP="00B077F3">
      <w:pPr>
        <w:pStyle w:val="BodyTextIndent"/>
        <w:ind w:left="0" w:firstLine="0"/>
        <w:jc w:val="both"/>
        <w:rPr>
          <w:b/>
          <w:bCs/>
        </w:rPr>
      </w:pPr>
    </w:p>
    <w:p w14:paraId="53C68CE0" w14:textId="77777777" w:rsidR="00BB4B29" w:rsidRDefault="00BB4B29" w:rsidP="00BB4B29">
      <w:pPr>
        <w:jc w:val="both"/>
      </w:pPr>
      <w:r>
        <w:t>We refer to the European Federation of Energy Traders General Agreement Concerning the Delivery and Acceptance of Natural Gas entered into between us dated [     ] (the "</w:t>
      </w:r>
      <w:r>
        <w:rPr>
          <w:b/>
        </w:rPr>
        <w:t>General Agreement</w:t>
      </w:r>
      <w:r>
        <w:t xml:space="preserve">") and the </w:t>
      </w:r>
      <w:r w:rsidR="00075ED1">
        <w:t>NBP</w:t>
      </w:r>
      <w:r>
        <w:t xml:space="preserve"> Appendix to such General Agreement (the "</w:t>
      </w:r>
      <w:r w:rsidRPr="00BB4B29">
        <w:rPr>
          <w:b/>
        </w:rPr>
        <w:t xml:space="preserve">Current </w:t>
      </w:r>
      <w:r w:rsidR="00075ED1">
        <w:rPr>
          <w:b/>
        </w:rPr>
        <w:t>NBP</w:t>
      </w:r>
      <w:r w:rsidRPr="00BB4B29">
        <w:rPr>
          <w:b/>
        </w:rPr>
        <w:t xml:space="preserve"> Appendix</w:t>
      </w:r>
      <w:r>
        <w:t>").</w:t>
      </w:r>
      <w:bookmarkStart w:id="0" w:name="SelTemp"/>
      <w:bookmarkEnd w:id="0"/>
    </w:p>
    <w:p w14:paraId="03174F03" w14:textId="77777777" w:rsidR="005708D0" w:rsidRDefault="005708D0" w:rsidP="00BB4B29">
      <w:pPr>
        <w:jc w:val="both"/>
      </w:pPr>
    </w:p>
    <w:p w14:paraId="303ECD34" w14:textId="77777777" w:rsidR="005708D0" w:rsidRDefault="005708D0" w:rsidP="005708D0">
      <w:pPr>
        <w:jc w:val="both"/>
      </w:pPr>
      <w:r>
        <w:t xml:space="preserve">All terms not otherwise defined in this letter </w:t>
      </w:r>
      <w:r w:rsidR="00671644">
        <w:t xml:space="preserve">agreement </w:t>
      </w:r>
      <w:r>
        <w:t xml:space="preserve">shall have the meanings given to them in the Current </w:t>
      </w:r>
      <w:r w:rsidR="00075ED1">
        <w:t>NBP</w:t>
      </w:r>
      <w:r>
        <w:t xml:space="preserve"> Appendix and the General Agreement.  </w:t>
      </w:r>
    </w:p>
    <w:p w14:paraId="745316B0" w14:textId="77777777" w:rsidR="00BB4B29" w:rsidRDefault="00BB4B29" w:rsidP="00BB4B29">
      <w:pPr>
        <w:ind w:left="540" w:hanging="540"/>
        <w:jc w:val="center"/>
      </w:pPr>
    </w:p>
    <w:p w14:paraId="329A43C4" w14:textId="02EC24B5" w:rsidR="0081484D" w:rsidRPr="000611E5" w:rsidRDefault="007A7522" w:rsidP="0081484D">
      <w:pPr>
        <w:jc w:val="both"/>
      </w:pPr>
      <w:r w:rsidRPr="00F92908">
        <w:t xml:space="preserve">As you </w:t>
      </w:r>
      <w:r w:rsidR="00132F17">
        <w:t>may</w:t>
      </w:r>
      <w:r w:rsidRPr="00F92908">
        <w:t xml:space="preserve"> be aware, </w:t>
      </w:r>
      <w:r w:rsidR="00075ED1">
        <w:t xml:space="preserve">due to the change in the United Kingdom downstream </w:t>
      </w:r>
      <w:r w:rsidR="007B63F7">
        <w:t>Natural G</w:t>
      </w:r>
      <w:r w:rsidR="00075ED1">
        <w:t>as Day to 0500 hours to 0500 hours (</w:t>
      </w:r>
      <w:r w:rsidR="007B63F7">
        <w:t>London t</w:t>
      </w:r>
      <w:r w:rsidR="00075ED1">
        <w:t>ime) on 1</w:t>
      </w:r>
      <w:r w:rsidR="00075ED1" w:rsidRPr="00075ED1">
        <w:rPr>
          <w:vertAlign w:val="superscript"/>
        </w:rPr>
        <w:t>st</w:t>
      </w:r>
      <w:r w:rsidR="00075ED1">
        <w:t xml:space="preserve"> October, 2015, EFET</w:t>
      </w:r>
      <w:r w:rsidR="00DB551B">
        <w:t xml:space="preserve"> </w:t>
      </w:r>
      <w:r w:rsidR="001036A7">
        <w:t xml:space="preserve">has published </w:t>
      </w:r>
      <w:r w:rsidR="0081484D" w:rsidRPr="00F92908">
        <w:t xml:space="preserve">a </w:t>
      </w:r>
      <w:r w:rsidR="00853F92">
        <w:t xml:space="preserve">new </w:t>
      </w:r>
      <w:r w:rsidR="0081484D" w:rsidRPr="00F92908">
        <w:t xml:space="preserve">Version </w:t>
      </w:r>
      <w:r w:rsidR="00DB551B">
        <w:t>2</w:t>
      </w:r>
      <w:r w:rsidR="0081484D">
        <w:t>.0</w:t>
      </w:r>
      <w:r w:rsidR="00853F92">
        <w:t>/</w:t>
      </w:r>
      <w:r w:rsidR="002F40A8">
        <w:t xml:space="preserve"> </w:t>
      </w:r>
      <w:r w:rsidR="00DB551B">
        <w:t>September</w:t>
      </w:r>
      <w:r w:rsidR="004D3494">
        <w:t xml:space="preserve"> 7,</w:t>
      </w:r>
      <w:r w:rsidR="00853F92">
        <w:t xml:space="preserve"> 20</w:t>
      </w:r>
      <w:r w:rsidR="001036A7">
        <w:t>15</w:t>
      </w:r>
      <w:r w:rsidR="0081484D" w:rsidRPr="00F92908">
        <w:t xml:space="preserve"> of the </w:t>
      </w:r>
      <w:r w:rsidR="00DB551B">
        <w:t xml:space="preserve">NBP </w:t>
      </w:r>
      <w:r w:rsidR="0081484D" w:rsidRPr="00F92908">
        <w:t xml:space="preserve">Appendix </w:t>
      </w:r>
      <w:r w:rsidR="00BB4B29">
        <w:t>(the "</w:t>
      </w:r>
      <w:r w:rsidR="00DB551B">
        <w:rPr>
          <w:b/>
        </w:rPr>
        <w:t>NBP</w:t>
      </w:r>
      <w:r w:rsidR="00BB4B29">
        <w:rPr>
          <w:b/>
        </w:rPr>
        <w:t xml:space="preserve"> Appendix (Version </w:t>
      </w:r>
      <w:r w:rsidR="00DB551B">
        <w:rPr>
          <w:b/>
        </w:rPr>
        <w:t>2</w:t>
      </w:r>
      <w:r w:rsidR="00BB4B29">
        <w:rPr>
          <w:b/>
        </w:rPr>
        <w:t>.0)</w:t>
      </w:r>
      <w:r w:rsidR="00304118">
        <w:t>")</w:t>
      </w:r>
      <w:r w:rsidR="0081484D" w:rsidRPr="000611E5">
        <w:t>.</w:t>
      </w:r>
    </w:p>
    <w:p w14:paraId="63268A59" w14:textId="77777777" w:rsidR="00BB4B29" w:rsidRDefault="00BB4B29" w:rsidP="00BB4B29">
      <w:pPr>
        <w:jc w:val="both"/>
      </w:pPr>
    </w:p>
    <w:p w14:paraId="5896517F" w14:textId="77777777" w:rsidR="00BB4B29" w:rsidRDefault="00BB4B29" w:rsidP="00BB4B29">
      <w:pPr>
        <w:jc w:val="both"/>
      </w:pPr>
      <w:r>
        <w:t xml:space="preserve">In order to ensure that we continue to trade with you on standard market terms at the </w:t>
      </w:r>
      <w:r w:rsidR="00DB551B">
        <w:t>NBP</w:t>
      </w:r>
      <w:r w:rsidR="000727E5">
        <w:t>,</w:t>
      </w:r>
      <w:r>
        <w:t xml:space="preserve"> we wish to amend the Current </w:t>
      </w:r>
      <w:r w:rsidR="00DB551B">
        <w:t>NBP</w:t>
      </w:r>
      <w:r>
        <w:t xml:space="preserve"> Appendix to reflect the updated terms of the </w:t>
      </w:r>
      <w:r w:rsidR="00DB551B">
        <w:t>NBP</w:t>
      </w:r>
      <w:r>
        <w:t xml:space="preserve"> Appendix (Version </w:t>
      </w:r>
      <w:r w:rsidR="00DB551B">
        <w:t>2</w:t>
      </w:r>
      <w:r>
        <w:t>.0).</w:t>
      </w:r>
    </w:p>
    <w:p w14:paraId="19C154D3" w14:textId="77777777" w:rsidR="00BB4B29" w:rsidRDefault="00BB4B29" w:rsidP="00BB4B29">
      <w:pPr>
        <w:jc w:val="both"/>
      </w:pPr>
      <w:r>
        <w:t xml:space="preserve"> </w:t>
      </w:r>
    </w:p>
    <w:p w14:paraId="28DFD468" w14:textId="77777777" w:rsidR="00BB4B29" w:rsidRDefault="00BB4B29" w:rsidP="00BB4B29">
      <w:pPr>
        <w:jc w:val="both"/>
      </w:pPr>
      <w:r>
        <w:t>We therefore ask you to confirm your agreement in accordance with §23.3 (</w:t>
      </w:r>
      <w:r>
        <w:rPr>
          <w:b/>
          <w:i/>
        </w:rPr>
        <w:t>Amendments</w:t>
      </w:r>
      <w:r>
        <w:t>) of the General Agreement to the following by signing and returning the attached duplicate copy of this letter</w:t>
      </w:r>
      <w:r w:rsidR="009F449A">
        <w:t xml:space="preserve"> agreement</w:t>
      </w:r>
      <w:r>
        <w:t>:</w:t>
      </w:r>
    </w:p>
    <w:p w14:paraId="2DE464A3" w14:textId="77777777" w:rsidR="00BB4B29" w:rsidRDefault="00BB4B29" w:rsidP="00BB4B29">
      <w:pPr>
        <w:jc w:val="both"/>
      </w:pPr>
    </w:p>
    <w:p w14:paraId="2DF5864D" w14:textId="77777777" w:rsidR="00BB4B29" w:rsidRDefault="00BB4B29" w:rsidP="00BB4B29">
      <w:pPr>
        <w:ind w:left="540" w:hanging="540"/>
        <w:jc w:val="both"/>
      </w:pPr>
      <w:r>
        <w:t xml:space="preserve">1. </w:t>
      </w:r>
      <w:r>
        <w:tab/>
      </w:r>
      <w:r w:rsidR="0052583E">
        <w:t>T</w:t>
      </w:r>
      <w:r>
        <w:t xml:space="preserve">he following </w:t>
      </w:r>
      <w:r w:rsidR="00485999">
        <w:t>Individual NBP Contract</w:t>
      </w:r>
      <w:r w:rsidR="009B1B1B">
        <w:t>s</w:t>
      </w:r>
      <w:r>
        <w:t xml:space="preserve"> entered into by </w:t>
      </w:r>
      <w:r w:rsidR="00883785">
        <w:t>us</w:t>
      </w:r>
      <w:r>
        <w:t xml:space="preserve"> shall become subject to the terms and conditions of the Current </w:t>
      </w:r>
      <w:r w:rsidR="00485999">
        <w:t>NBP</w:t>
      </w:r>
      <w:r>
        <w:t xml:space="preserve"> Appendix as amended by this letter</w:t>
      </w:r>
      <w:r w:rsidR="009F449A">
        <w:t xml:space="preserve"> agreement</w:t>
      </w:r>
      <w:r>
        <w:t xml:space="preserve">: </w:t>
      </w:r>
    </w:p>
    <w:p w14:paraId="3F2DFD95" w14:textId="77777777" w:rsidR="00BB4B29" w:rsidRDefault="00BB4B29" w:rsidP="00BB4B29">
      <w:pPr>
        <w:jc w:val="both"/>
      </w:pPr>
    </w:p>
    <w:p w14:paraId="62660D27" w14:textId="77777777" w:rsidR="00BB4B29" w:rsidRDefault="00BB4B29" w:rsidP="000B09F7">
      <w:pPr>
        <w:numPr>
          <w:ilvl w:val="1"/>
          <w:numId w:val="10"/>
        </w:numPr>
        <w:ind w:left="1134" w:hanging="567"/>
        <w:jc w:val="both"/>
      </w:pPr>
      <w:r>
        <w:lastRenderedPageBreak/>
        <w:t xml:space="preserve">all </w:t>
      </w:r>
      <w:r w:rsidR="00485999">
        <w:t>Individual NBP Contracts</w:t>
      </w:r>
      <w:r>
        <w:t xml:space="preserve"> entered into on or after the date of this letter</w:t>
      </w:r>
      <w:r w:rsidR="0017552E">
        <w:t xml:space="preserve"> </w:t>
      </w:r>
      <w:r w:rsidR="009F449A">
        <w:t xml:space="preserve">agreement </w:t>
      </w:r>
      <w:r w:rsidR="0017552E">
        <w:t>with Total Supply Periods  commenc</w:t>
      </w:r>
      <w:r w:rsidR="005D15A0">
        <w:t>ing</w:t>
      </w:r>
      <w:r w:rsidR="0017552E">
        <w:t xml:space="preserve"> on or after 1</w:t>
      </w:r>
      <w:r w:rsidR="0017552E" w:rsidRPr="0017552E">
        <w:rPr>
          <w:vertAlign w:val="superscript"/>
        </w:rPr>
        <w:t>st</w:t>
      </w:r>
      <w:r w:rsidR="0017552E">
        <w:t xml:space="preserve"> </w:t>
      </w:r>
      <w:r w:rsidR="00485999">
        <w:t>October</w:t>
      </w:r>
      <w:r w:rsidR="0017552E">
        <w:t xml:space="preserve"> 2015</w:t>
      </w:r>
      <w:r>
        <w:t>;</w:t>
      </w:r>
    </w:p>
    <w:p w14:paraId="00136AB6" w14:textId="77777777" w:rsidR="00BB4B29" w:rsidRDefault="00BB4B29" w:rsidP="00DC7660">
      <w:pPr>
        <w:ind w:left="1134" w:hanging="425"/>
        <w:jc w:val="both"/>
      </w:pPr>
    </w:p>
    <w:p w14:paraId="03F17DEB" w14:textId="77777777" w:rsidR="00BB4B29" w:rsidRDefault="00BB4B29" w:rsidP="000B09F7">
      <w:pPr>
        <w:numPr>
          <w:ilvl w:val="1"/>
          <w:numId w:val="10"/>
        </w:numPr>
        <w:ind w:left="1134" w:hanging="567"/>
        <w:jc w:val="both"/>
      </w:pPr>
      <w:r>
        <w:t xml:space="preserve">all </w:t>
      </w:r>
      <w:r w:rsidR="00485999">
        <w:t>Individual NBP Contracts</w:t>
      </w:r>
      <w:r>
        <w:t xml:space="preserve"> entered into before the date of this letter </w:t>
      </w:r>
      <w:r w:rsidR="009F449A">
        <w:t xml:space="preserve">agreement </w:t>
      </w:r>
      <w:r>
        <w:t>with Total Supply Period</w:t>
      </w:r>
      <w:r w:rsidR="005D15A0">
        <w:t>s</w:t>
      </w:r>
      <w:r>
        <w:t xml:space="preserve"> commencing on or after </w:t>
      </w:r>
      <w:r w:rsidR="0017552E">
        <w:t>1</w:t>
      </w:r>
      <w:r w:rsidR="0017552E" w:rsidRPr="0017552E">
        <w:rPr>
          <w:vertAlign w:val="superscript"/>
        </w:rPr>
        <w:t>st</w:t>
      </w:r>
      <w:r w:rsidR="0017552E">
        <w:t xml:space="preserve"> </w:t>
      </w:r>
      <w:r w:rsidR="00485999">
        <w:t>October</w:t>
      </w:r>
      <w:r w:rsidR="0017552E">
        <w:t xml:space="preserve"> 2015</w:t>
      </w:r>
      <w:r>
        <w:t>; and</w:t>
      </w:r>
    </w:p>
    <w:p w14:paraId="627863E2" w14:textId="77777777" w:rsidR="00BB4B29" w:rsidRDefault="00BB4B29" w:rsidP="00DC7660">
      <w:pPr>
        <w:ind w:left="1134" w:hanging="425"/>
        <w:jc w:val="both"/>
      </w:pPr>
    </w:p>
    <w:p w14:paraId="3F9CAF7C" w14:textId="77777777" w:rsidR="00BB4B29" w:rsidRDefault="00BB4B29" w:rsidP="000B09F7">
      <w:pPr>
        <w:numPr>
          <w:ilvl w:val="1"/>
          <w:numId w:val="10"/>
        </w:numPr>
        <w:ind w:left="1134" w:hanging="567"/>
        <w:jc w:val="both"/>
      </w:pPr>
      <w:r>
        <w:t xml:space="preserve">all </w:t>
      </w:r>
      <w:r w:rsidR="00485999">
        <w:t>Individual NBP Contracts</w:t>
      </w:r>
      <w:r>
        <w:t xml:space="preserve"> entered into before the date of th</w:t>
      </w:r>
      <w:r w:rsidR="0017552E">
        <w:t>is</w:t>
      </w:r>
      <w:r>
        <w:t xml:space="preserve"> letter </w:t>
      </w:r>
      <w:r w:rsidR="009F449A">
        <w:t xml:space="preserve">agreement </w:t>
      </w:r>
      <w:r>
        <w:t xml:space="preserve">with Total Supply Periods that include a period on or after </w:t>
      </w:r>
      <w:r w:rsidR="0017552E">
        <w:t>1</w:t>
      </w:r>
      <w:r w:rsidR="0017552E" w:rsidRPr="0017552E">
        <w:rPr>
          <w:vertAlign w:val="superscript"/>
        </w:rPr>
        <w:t>st</w:t>
      </w:r>
      <w:r w:rsidR="0017552E">
        <w:t xml:space="preserve"> </w:t>
      </w:r>
      <w:r w:rsidR="00485999">
        <w:t>October</w:t>
      </w:r>
      <w:r w:rsidR="0017552E">
        <w:t xml:space="preserve"> 2015</w:t>
      </w:r>
      <w:r>
        <w:t xml:space="preserve"> provided that, in such case, the amendments set out in this letter </w:t>
      </w:r>
      <w:r w:rsidR="009F449A">
        <w:t xml:space="preserve">agreement </w:t>
      </w:r>
      <w:r>
        <w:t xml:space="preserve">shall only apply in respect of Days falling on or after </w:t>
      </w:r>
      <w:r w:rsidR="0017552E">
        <w:t>1</w:t>
      </w:r>
      <w:r w:rsidR="0017552E" w:rsidRPr="0017552E">
        <w:rPr>
          <w:vertAlign w:val="superscript"/>
        </w:rPr>
        <w:t>st</w:t>
      </w:r>
      <w:r w:rsidR="0017552E">
        <w:t xml:space="preserve"> </w:t>
      </w:r>
      <w:r w:rsidR="00485999">
        <w:t>October</w:t>
      </w:r>
      <w:r w:rsidR="0017552E">
        <w:t xml:space="preserve"> 2015</w:t>
      </w:r>
      <w:r w:rsidR="0052583E">
        <w:t>.</w:t>
      </w:r>
    </w:p>
    <w:p w14:paraId="7904FC43" w14:textId="77777777" w:rsidR="00BB4B29" w:rsidRDefault="00BB4B29" w:rsidP="00FE4062">
      <w:pPr>
        <w:jc w:val="both"/>
      </w:pPr>
    </w:p>
    <w:p w14:paraId="4F4E9CD6" w14:textId="15C94A5F" w:rsidR="0017552E" w:rsidRDefault="009B1B1B" w:rsidP="00A364E4">
      <w:pPr>
        <w:tabs>
          <w:tab w:val="left" w:pos="567"/>
        </w:tabs>
        <w:jc w:val="both"/>
      </w:pPr>
      <w:r>
        <w:t>2</w:t>
      </w:r>
      <w:r w:rsidR="00630639">
        <w:t>.</w:t>
      </w:r>
      <w:r w:rsidR="00630639">
        <w:tab/>
      </w:r>
      <w:r w:rsidR="0052583E">
        <w:t>T</w:t>
      </w:r>
      <w:r w:rsidR="0017552E">
        <w:t xml:space="preserve">he following amendments shall be made to the </w:t>
      </w:r>
      <w:r w:rsidR="00DC7660">
        <w:t xml:space="preserve">Current </w:t>
      </w:r>
      <w:r w:rsidR="00BC4BA7">
        <w:t xml:space="preserve">NBP </w:t>
      </w:r>
      <w:r w:rsidR="0017552E">
        <w:t>Appendix:</w:t>
      </w:r>
    </w:p>
    <w:p w14:paraId="15E39962" w14:textId="77777777" w:rsidR="0017552E" w:rsidRDefault="0017552E" w:rsidP="00A364E4">
      <w:pPr>
        <w:jc w:val="both"/>
      </w:pPr>
    </w:p>
    <w:p w14:paraId="577FFDB2" w14:textId="77777777" w:rsidR="00E376C2" w:rsidRDefault="00E376C2" w:rsidP="00A364E4">
      <w:pPr>
        <w:numPr>
          <w:ilvl w:val="0"/>
          <w:numId w:val="14"/>
        </w:numPr>
        <w:jc w:val="both"/>
      </w:pPr>
      <w:r>
        <w:t xml:space="preserve">the definition of NBP 97 Terms shall be replaced by </w:t>
      </w:r>
      <w:r w:rsidR="007B63F7">
        <w:t>a</w:t>
      </w:r>
      <w:r>
        <w:t xml:space="preserve"> definition of  "NBP 15 Terms" reading as follows: "the Short Term Flat NBP Trading Terms</w:t>
      </w:r>
      <w:r w:rsidR="009B1B1B">
        <w:t xml:space="preserve"> &amp;</w:t>
      </w:r>
      <w:r>
        <w:t xml:space="preserve"> Conditions 2015";</w:t>
      </w:r>
    </w:p>
    <w:p w14:paraId="64347F3C" w14:textId="77777777" w:rsidR="00E376C2" w:rsidRDefault="00E376C2" w:rsidP="00A364E4">
      <w:pPr>
        <w:ind w:left="957"/>
        <w:jc w:val="both"/>
      </w:pPr>
    </w:p>
    <w:p w14:paraId="4D021E60" w14:textId="77777777" w:rsidR="000727E5" w:rsidRDefault="000727E5" w:rsidP="00A364E4">
      <w:pPr>
        <w:numPr>
          <w:ilvl w:val="0"/>
          <w:numId w:val="14"/>
        </w:numPr>
        <w:jc w:val="both"/>
      </w:pPr>
      <w:r>
        <w:t>all references to "</w:t>
      </w:r>
      <w:r w:rsidR="00F71697">
        <w:t>NBP 97 Terms</w:t>
      </w:r>
      <w:r>
        <w:t>" shall be replaced by references to "</w:t>
      </w:r>
      <w:r w:rsidR="00F71697">
        <w:t>NBP 15 Terms</w:t>
      </w:r>
      <w:r>
        <w:t>"</w:t>
      </w:r>
      <w:r w:rsidR="00F71697">
        <w:t xml:space="preserve">, it being acknowledged that certain terms and provisions of NBP 15 are now incorporated into the </w:t>
      </w:r>
      <w:r w:rsidR="009B1B1B">
        <w:t xml:space="preserve">Current </w:t>
      </w:r>
      <w:r w:rsidR="00F71697">
        <w:t>NBP Appendix in place of the terms and provisions of NBP 97</w:t>
      </w:r>
      <w:r>
        <w:t>;</w:t>
      </w:r>
    </w:p>
    <w:p w14:paraId="65543332" w14:textId="77777777" w:rsidR="000727E5" w:rsidRDefault="000727E5" w:rsidP="00A364E4">
      <w:pPr>
        <w:ind w:left="567"/>
        <w:jc w:val="both"/>
      </w:pPr>
    </w:p>
    <w:p w14:paraId="6A3CFBB3" w14:textId="77777777" w:rsidR="0095425C" w:rsidRDefault="00F71697" w:rsidP="00A364E4">
      <w:pPr>
        <w:numPr>
          <w:ilvl w:val="0"/>
          <w:numId w:val="14"/>
        </w:numPr>
        <w:jc w:val="both"/>
      </w:pPr>
      <w:r>
        <w:t xml:space="preserve">the table in § 2.1 shall be replaced by the following table: </w:t>
      </w:r>
    </w:p>
    <w:p w14:paraId="4090E981" w14:textId="77777777" w:rsidR="0095425C" w:rsidRDefault="0095425C" w:rsidP="00A364E4">
      <w:pPr>
        <w:ind w:left="957"/>
        <w:jc w:val="both"/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500"/>
      </w:tblGrid>
      <w:tr w:rsidR="00FC38AB" w:rsidRPr="00A364E4" w14:paraId="3D01FBD7" w14:textId="77777777" w:rsidTr="009B1B1B">
        <w:trPr>
          <w:trHeight w:val="283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ACDC9" w14:textId="77777777" w:rsidR="00FC38AB" w:rsidRPr="007B63F7" w:rsidRDefault="00FC38AB" w:rsidP="00FC38AB">
            <w:pPr>
              <w:pStyle w:val="TableParagraph"/>
              <w:spacing w:line="228" w:lineRule="exact"/>
              <w:ind w:left="1288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B63F7">
              <w:rPr>
                <w:rFonts w:ascii="Times New Roman"/>
                <w:b/>
                <w:spacing w:val="-1"/>
                <w:sz w:val="24"/>
                <w:szCs w:val="24"/>
                <w:u w:val="single"/>
              </w:rPr>
              <w:t>NBP</w:t>
            </w:r>
            <w:r w:rsidRPr="007B63F7">
              <w:rPr>
                <w:rFonts w:ascii="Times New Roman"/>
                <w:b/>
                <w:sz w:val="24"/>
                <w:szCs w:val="24"/>
                <w:u w:val="single"/>
              </w:rPr>
              <w:t xml:space="preserve"> </w:t>
            </w:r>
            <w:r w:rsidR="007B63F7">
              <w:rPr>
                <w:rFonts w:ascii="Times New Roman"/>
                <w:b/>
                <w:sz w:val="24"/>
                <w:szCs w:val="24"/>
                <w:u w:val="single"/>
              </w:rPr>
              <w:t xml:space="preserve">15 Terms </w:t>
            </w:r>
            <w:r w:rsidRPr="007B63F7">
              <w:rPr>
                <w:rFonts w:ascii="Times New Roman"/>
                <w:b/>
                <w:spacing w:val="-1"/>
                <w:sz w:val="24"/>
                <w:szCs w:val="24"/>
                <w:u w:val="single"/>
              </w:rPr>
              <w:t>Terminology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55C48" w14:textId="77777777" w:rsidR="00FC38AB" w:rsidRPr="007B63F7" w:rsidRDefault="00FC38AB" w:rsidP="00FC38AB">
            <w:pPr>
              <w:pStyle w:val="TableParagraph"/>
              <w:spacing w:line="228" w:lineRule="exact"/>
              <w:ind w:left="1767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B63F7">
              <w:rPr>
                <w:rFonts w:ascii="Times New Roman"/>
                <w:b/>
                <w:spacing w:val="-1"/>
                <w:sz w:val="24"/>
                <w:szCs w:val="24"/>
                <w:u w:val="single"/>
              </w:rPr>
              <w:t>EFET</w:t>
            </w:r>
            <w:r w:rsidRPr="007B63F7">
              <w:rPr>
                <w:rFonts w:ascii="Times New Roman"/>
                <w:b/>
                <w:sz w:val="24"/>
                <w:szCs w:val="24"/>
                <w:u w:val="single"/>
              </w:rPr>
              <w:t xml:space="preserve"> </w:t>
            </w:r>
            <w:r w:rsidRPr="007B63F7">
              <w:rPr>
                <w:rFonts w:ascii="Times New Roman"/>
                <w:b/>
                <w:spacing w:val="-1"/>
                <w:sz w:val="24"/>
                <w:szCs w:val="24"/>
                <w:u w:val="single"/>
              </w:rPr>
              <w:t>Terminology</w:t>
            </w:r>
          </w:p>
        </w:tc>
      </w:tr>
      <w:tr w:rsidR="00FC38AB" w:rsidRPr="00A364E4" w14:paraId="4FB37D09" w14:textId="77777777" w:rsidTr="009B1B1B">
        <w:trPr>
          <w:trHeight w:val="283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73E1A" w14:textId="77777777" w:rsidR="00FC38AB" w:rsidRPr="00A364E4" w:rsidRDefault="00FC38AB" w:rsidP="009B1B1B">
            <w:pPr>
              <w:pStyle w:val="TableParagraph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NBP</w:t>
            </w:r>
            <w:r w:rsidRPr="009B1B1B">
              <w:rPr>
                <w:rFonts w:ascii="Times New Roman"/>
                <w:b/>
                <w:spacing w:val="-1"/>
                <w:sz w:val="24"/>
                <w:szCs w:val="24"/>
              </w:rPr>
              <w:t xml:space="preserve"> Trade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61A80" w14:textId="77777777" w:rsidR="00FC38AB" w:rsidRPr="00A364E4" w:rsidRDefault="00FC38AB" w:rsidP="009B1B1B">
            <w:pPr>
              <w:pStyle w:val="TableParagraph"/>
              <w:ind w:left="7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Individual NBP</w:t>
            </w:r>
            <w:r w:rsidRPr="00A364E4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Contract</w:t>
            </w:r>
          </w:p>
        </w:tc>
      </w:tr>
      <w:tr w:rsidR="00FC38AB" w:rsidRPr="00A364E4" w14:paraId="7CB2DE98" w14:textId="77777777" w:rsidTr="009B1B1B">
        <w:trPr>
          <w:trHeight w:val="283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0A89F" w14:textId="77777777" w:rsidR="00FC38AB" w:rsidRPr="00A364E4" w:rsidRDefault="00FC38AB" w:rsidP="00FC38AB">
            <w:pPr>
              <w:pStyle w:val="TableParagraph"/>
              <w:spacing w:line="228" w:lineRule="exact"/>
              <w:ind w:left="72"/>
              <w:jc w:val="center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Supply Period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1BA3F" w14:textId="77777777" w:rsidR="00FC38AB" w:rsidRPr="00A364E4" w:rsidRDefault="00FC38AB" w:rsidP="00FC38AB">
            <w:pPr>
              <w:pStyle w:val="TableParagraph"/>
              <w:spacing w:line="228" w:lineRule="exact"/>
              <w:ind w:left="17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4E4">
              <w:rPr>
                <w:rFonts w:ascii="Times New Roman"/>
                <w:b/>
                <w:sz w:val="24"/>
                <w:szCs w:val="24"/>
              </w:rPr>
              <w:t xml:space="preserve">Total </w:t>
            </w: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 xml:space="preserve">Supply </w:t>
            </w:r>
            <w:r w:rsidRPr="00A364E4">
              <w:rPr>
                <w:rFonts w:ascii="Times New Roman"/>
                <w:b/>
                <w:sz w:val="24"/>
                <w:szCs w:val="24"/>
              </w:rPr>
              <w:t>Period</w:t>
            </w:r>
          </w:p>
        </w:tc>
      </w:tr>
      <w:tr w:rsidR="00FC38AB" w:rsidRPr="00A364E4" w14:paraId="79E1903F" w14:textId="77777777" w:rsidTr="009B1B1B">
        <w:trPr>
          <w:trHeight w:val="283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7A02" w14:textId="77777777" w:rsidR="00FC38AB" w:rsidRPr="00A364E4" w:rsidRDefault="00FC38AB" w:rsidP="00FC38AB">
            <w:pPr>
              <w:pStyle w:val="TableParagraph"/>
              <w:spacing w:line="228" w:lineRule="exact"/>
              <w:ind w:left="72"/>
              <w:jc w:val="center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Daily Quantity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F8441" w14:textId="77777777" w:rsidR="00FC38AB" w:rsidRPr="00A364E4" w:rsidRDefault="00FC38AB" w:rsidP="00FC38AB">
            <w:pPr>
              <w:pStyle w:val="TableParagraph"/>
              <w:spacing w:line="228" w:lineRule="exact"/>
              <w:ind w:left="7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 xml:space="preserve">Contract Quantity </w:t>
            </w:r>
          </w:p>
        </w:tc>
      </w:tr>
      <w:tr w:rsidR="00FC38AB" w:rsidRPr="00A364E4" w14:paraId="203D6196" w14:textId="77777777" w:rsidTr="009B1B1B">
        <w:trPr>
          <w:trHeight w:val="283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7AA89" w14:textId="77777777" w:rsidR="00FC38AB" w:rsidRPr="00A364E4" w:rsidRDefault="00FC38AB" w:rsidP="00FC38AB">
            <w:pPr>
              <w:pStyle w:val="TableParagraph"/>
              <w:spacing w:line="228" w:lineRule="exact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Monthly Statement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6281A" w14:textId="77777777" w:rsidR="00FC38AB" w:rsidRPr="00A364E4" w:rsidRDefault="00FC38AB" w:rsidP="00FC38AB">
            <w:pPr>
              <w:pStyle w:val="TableParagraph"/>
              <w:spacing w:line="228" w:lineRule="exact"/>
              <w:ind w:left="7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invoice</w:t>
            </w:r>
          </w:p>
        </w:tc>
      </w:tr>
      <w:tr w:rsidR="00FC38AB" w:rsidRPr="00A364E4" w14:paraId="666A7320" w14:textId="77777777" w:rsidTr="009B1B1B">
        <w:trPr>
          <w:trHeight w:val="283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57FF2" w14:textId="77777777" w:rsidR="00FC38AB" w:rsidRPr="00A364E4" w:rsidRDefault="00FC38AB" w:rsidP="00FC38AB">
            <w:pPr>
              <w:pStyle w:val="TableParagraph"/>
              <w:spacing w:line="228" w:lineRule="exact"/>
              <w:ind w:left="72"/>
              <w:jc w:val="center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Banking Day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A598E" w14:textId="77777777" w:rsidR="00FC38AB" w:rsidRPr="00A364E4" w:rsidRDefault="00FC38AB" w:rsidP="00FC38AB">
            <w:pPr>
              <w:pStyle w:val="TableParagraph"/>
              <w:spacing w:line="228" w:lineRule="exact"/>
              <w:ind w:left="718"/>
              <w:jc w:val="center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Business Day</w:t>
            </w:r>
          </w:p>
        </w:tc>
      </w:tr>
      <w:tr w:rsidR="00FC38AB" w:rsidRPr="00A364E4" w14:paraId="297FEACF" w14:textId="77777777" w:rsidTr="009B1B1B">
        <w:trPr>
          <w:trHeight w:val="283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F8AF6" w14:textId="77777777" w:rsidR="00FC38AB" w:rsidRPr="00A364E4" w:rsidRDefault="00FC38AB" w:rsidP="00FC38AB">
            <w:pPr>
              <w:pStyle w:val="TableParagraph"/>
              <w:spacing w:line="228" w:lineRule="exact"/>
              <w:ind w:left="72"/>
              <w:jc w:val="center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Payment Banking Day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2CE44" w14:textId="77777777" w:rsidR="00FC38AB" w:rsidRPr="00A364E4" w:rsidRDefault="00FC38AB" w:rsidP="00FC38AB">
            <w:pPr>
              <w:pStyle w:val="TableParagraph"/>
              <w:spacing w:line="228" w:lineRule="exact"/>
              <w:ind w:left="718"/>
              <w:jc w:val="center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Business Day</w:t>
            </w:r>
          </w:p>
        </w:tc>
      </w:tr>
      <w:tr w:rsidR="00FC38AB" w:rsidRPr="00A364E4" w14:paraId="67812218" w14:textId="77777777" w:rsidTr="009B1B1B">
        <w:trPr>
          <w:trHeight w:val="283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FD474" w14:textId="77777777" w:rsidR="00FC38AB" w:rsidRPr="00A364E4" w:rsidRDefault="00FC38AB" w:rsidP="00FC38AB">
            <w:pPr>
              <w:pStyle w:val="TableParagraph"/>
              <w:spacing w:line="228" w:lineRule="exact"/>
              <w:ind w:left="72"/>
              <w:jc w:val="center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Gas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2409" w14:textId="77777777" w:rsidR="00FC38AB" w:rsidRPr="00A364E4" w:rsidRDefault="00FC38AB" w:rsidP="00FC38AB">
            <w:pPr>
              <w:pStyle w:val="TableParagraph"/>
              <w:spacing w:line="228" w:lineRule="exact"/>
              <w:ind w:left="718"/>
              <w:jc w:val="center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Natural Gas</w:t>
            </w:r>
          </w:p>
        </w:tc>
      </w:tr>
      <w:tr w:rsidR="00FC38AB" w:rsidRPr="00A364E4" w14:paraId="6A12BAFA" w14:textId="77777777" w:rsidTr="009B1B1B">
        <w:trPr>
          <w:trHeight w:val="283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5CEBB" w14:textId="77777777" w:rsidR="00FC38AB" w:rsidRPr="00A364E4" w:rsidRDefault="00FC38AB" w:rsidP="00FC38AB">
            <w:pPr>
              <w:pStyle w:val="TableParagraph"/>
              <w:spacing w:line="228" w:lineRule="exact"/>
              <w:ind w:left="72"/>
              <w:jc w:val="center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LIBOR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8B7DF" w14:textId="77777777" w:rsidR="00FC38AB" w:rsidRPr="00A364E4" w:rsidRDefault="00FC38AB" w:rsidP="00FC38AB">
            <w:pPr>
              <w:pStyle w:val="TableParagraph"/>
              <w:spacing w:line="228" w:lineRule="exact"/>
              <w:ind w:left="718"/>
              <w:jc w:val="center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Interest Rate</w:t>
            </w:r>
          </w:p>
        </w:tc>
      </w:tr>
      <w:tr w:rsidR="00FC38AB" w:rsidRPr="00A364E4" w14:paraId="10BAEDAE" w14:textId="77777777" w:rsidTr="009B1B1B">
        <w:trPr>
          <w:trHeight w:val="283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0845" w14:textId="77777777" w:rsidR="00FC38AB" w:rsidRPr="00A364E4" w:rsidRDefault="00FC38AB" w:rsidP="00FC38AB">
            <w:pPr>
              <w:pStyle w:val="TableParagraph"/>
              <w:spacing w:line="228" w:lineRule="exact"/>
              <w:ind w:left="72"/>
              <w:jc w:val="center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Transaction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3E25" w14:textId="77777777" w:rsidR="00FC38AB" w:rsidRPr="00A364E4" w:rsidRDefault="00FC38AB" w:rsidP="00FC38AB">
            <w:pPr>
              <w:pStyle w:val="TableParagraph"/>
              <w:spacing w:line="228" w:lineRule="exact"/>
              <w:ind w:left="718"/>
              <w:jc w:val="center"/>
              <w:rPr>
                <w:rFonts w:ascii="Times New Roman"/>
                <w:b/>
                <w:spacing w:val="-1"/>
                <w:sz w:val="24"/>
                <w:szCs w:val="24"/>
              </w:rPr>
            </w:pPr>
            <w:r w:rsidRPr="00A364E4">
              <w:rPr>
                <w:rFonts w:ascii="Times New Roman"/>
                <w:b/>
                <w:spacing w:val="-1"/>
                <w:sz w:val="24"/>
                <w:szCs w:val="24"/>
              </w:rPr>
              <w:t>Individual NBP Contract</w:t>
            </w:r>
          </w:p>
        </w:tc>
      </w:tr>
    </w:tbl>
    <w:p w14:paraId="6E3CF6B0" w14:textId="77777777" w:rsidR="0017552E" w:rsidRDefault="00A364E4" w:rsidP="00A364E4">
      <w:pPr>
        <w:numPr>
          <w:ilvl w:val="0"/>
          <w:numId w:val="14"/>
        </w:numPr>
        <w:spacing w:before="240"/>
        <w:jc w:val="both"/>
      </w:pPr>
      <w:r>
        <w:t xml:space="preserve">in § </w:t>
      </w:r>
      <w:r w:rsidR="00256F0B">
        <w:t>3.2 the words: "the confirmation procedure set forth in Clause</w:t>
      </w:r>
      <w:r w:rsidR="007B63F7">
        <w:t>s</w:t>
      </w:r>
      <w:r w:rsidR="00256F0B">
        <w:t xml:space="preserve"> 2.1 to 2.8" shall be replaced by the w</w:t>
      </w:r>
      <w:r w:rsidR="00F71697">
        <w:t>ords</w:t>
      </w:r>
      <w:r w:rsidR="00256F0B">
        <w:t>: "the confirmation procedure set forth in Clause</w:t>
      </w:r>
      <w:r w:rsidR="007B63F7">
        <w:t>s</w:t>
      </w:r>
      <w:r w:rsidR="00256F0B">
        <w:t xml:space="preserve"> 2.1 to 2.9"</w:t>
      </w:r>
      <w:r w:rsidR="00A74C98">
        <w:t>;</w:t>
      </w:r>
      <w:r w:rsidR="000727E5">
        <w:t xml:space="preserve">  </w:t>
      </w:r>
    </w:p>
    <w:p w14:paraId="33D0ACE8" w14:textId="77777777" w:rsidR="00DC7660" w:rsidRDefault="00256F0B" w:rsidP="00A364E4">
      <w:pPr>
        <w:numPr>
          <w:ilvl w:val="0"/>
          <w:numId w:val="14"/>
        </w:numPr>
        <w:spacing w:before="240"/>
        <w:jc w:val="both"/>
      </w:pPr>
      <w:r>
        <w:t>in § 6.1 p</w:t>
      </w:r>
      <w:r w:rsidR="00F71697">
        <w:t xml:space="preserve">aragraph (b) </w:t>
      </w:r>
      <w:r w:rsidR="007B63F7">
        <w:t>of</w:t>
      </w:r>
      <w:r w:rsidR="00F71697">
        <w:t xml:space="preserve"> the replacement § 8 </w:t>
      </w:r>
      <w:r>
        <w:t>to</w:t>
      </w:r>
      <w:r w:rsidR="00F71697">
        <w:t xml:space="preserve"> the General Agreement shall be deleted;</w:t>
      </w:r>
    </w:p>
    <w:p w14:paraId="67861A91" w14:textId="77777777" w:rsidR="00F71697" w:rsidRDefault="00F71697" w:rsidP="00A364E4">
      <w:pPr>
        <w:ind w:left="957"/>
        <w:jc w:val="both"/>
      </w:pPr>
    </w:p>
    <w:p w14:paraId="1EB62829" w14:textId="5C5130A8" w:rsidR="00877206" w:rsidRDefault="00505394" w:rsidP="00A364E4">
      <w:pPr>
        <w:numPr>
          <w:ilvl w:val="0"/>
          <w:numId w:val="14"/>
        </w:numPr>
        <w:jc w:val="both"/>
      </w:pPr>
      <w:r>
        <w:lastRenderedPageBreak/>
        <w:t>§9 shall be deleted and replaced with the following: "</w:t>
      </w:r>
      <w:r w:rsidRPr="00256F0B">
        <w:rPr>
          <w:b/>
        </w:rPr>
        <w:t>Currency for Payment</w:t>
      </w:r>
      <w:r w:rsidR="004C12C3" w:rsidRPr="00256F0B">
        <w:rPr>
          <w:b/>
        </w:rPr>
        <w:t>s</w:t>
      </w:r>
      <w:r w:rsidR="00877206">
        <w:t xml:space="preserve">: </w:t>
      </w:r>
      <w:r>
        <w:t>Unless otherwise agreed in respect of an Individual NBP</w:t>
      </w:r>
      <w:r w:rsidR="00877206">
        <w:t xml:space="preserve"> C</w:t>
      </w:r>
      <w:r>
        <w:t>o</w:t>
      </w:r>
      <w:r w:rsidR="00877206">
        <w:t>nt</w:t>
      </w:r>
      <w:r w:rsidR="00802AC9">
        <w:t>r</w:t>
      </w:r>
      <w:bookmarkStart w:id="1" w:name="_GoBack"/>
      <w:bookmarkEnd w:id="1"/>
      <w:r w:rsidR="00877206">
        <w:t>act, the currency for payment for delivery of Natural Gas under all Individual NBP Contracts shall be pounds sterling and all invoices shall be issued and paid in pounds sterling.";</w:t>
      </w:r>
    </w:p>
    <w:p w14:paraId="4D2F6D8F" w14:textId="77777777" w:rsidR="00877206" w:rsidRDefault="00877206" w:rsidP="00A364E4">
      <w:pPr>
        <w:ind w:left="957"/>
        <w:jc w:val="both"/>
      </w:pPr>
    </w:p>
    <w:p w14:paraId="2F8AD76C" w14:textId="77777777" w:rsidR="0017552E" w:rsidRDefault="00877206" w:rsidP="00A364E4">
      <w:pPr>
        <w:numPr>
          <w:ilvl w:val="0"/>
          <w:numId w:val="14"/>
        </w:numPr>
        <w:jc w:val="both"/>
      </w:pPr>
      <w:r>
        <w:t>Paragraph (b) in § 10 shall be deleted;</w:t>
      </w:r>
    </w:p>
    <w:p w14:paraId="7C772738" w14:textId="77777777" w:rsidR="001B40AC" w:rsidRDefault="001B40AC" w:rsidP="001B40AC">
      <w:pPr>
        <w:pStyle w:val="ListParagraph"/>
      </w:pPr>
    </w:p>
    <w:p w14:paraId="02287926" w14:textId="77777777" w:rsidR="001B40AC" w:rsidRDefault="001B40AC" w:rsidP="00A364E4">
      <w:pPr>
        <w:numPr>
          <w:ilvl w:val="0"/>
          <w:numId w:val="14"/>
        </w:numPr>
        <w:jc w:val="both"/>
      </w:pPr>
      <w:r>
        <w:t>§ 11 shall be deleted;</w:t>
      </w:r>
    </w:p>
    <w:p w14:paraId="65BC4633" w14:textId="77777777" w:rsidR="00877206" w:rsidRDefault="00877206" w:rsidP="00A364E4">
      <w:pPr>
        <w:ind w:left="957"/>
        <w:jc w:val="both"/>
      </w:pPr>
    </w:p>
    <w:p w14:paraId="02DDF07E" w14:textId="6636E804" w:rsidR="00877206" w:rsidRDefault="00877206" w:rsidP="00A364E4">
      <w:pPr>
        <w:numPr>
          <w:ilvl w:val="0"/>
          <w:numId w:val="14"/>
        </w:numPr>
        <w:jc w:val="both"/>
      </w:pPr>
      <w:r>
        <w:t>§</w:t>
      </w:r>
      <w:r w:rsidR="00AA0718">
        <w:t xml:space="preserve"> </w:t>
      </w:r>
      <w:r>
        <w:t>12</w:t>
      </w:r>
      <w:r w:rsidR="00AA0718">
        <w:t xml:space="preserve"> shall become the new § 11 and § </w:t>
      </w:r>
      <w:r w:rsidR="00BC4BA7">
        <w:t>11</w:t>
      </w:r>
      <w:r>
        <w:t>.3 shall be amended to read as follows:</w:t>
      </w:r>
      <w:r w:rsidR="00694123">
        <w:t xml:space="preserve"> </w:t>
      </w:r>
      <w:r w:rsidR="00256F0B">
        <w:t>"</w:t>
      </w:r>
      <w:r w:rsidR="00201F58">
        <w:rPr>
          <w:b/>
          <w:spacing w:val="-1"/>
        </w:rPr>
        <w:t>Currency</w:t>
      </w:r>
      <w:r w:rsidR="00201F58">
        <w:rPr>
          <w:b/>
          <w:spacing w:val="2"/>
        </w:rPr>
        <w:t xml:space="preserve"> </w:t>
      </w:r>
      <w:r w:rsidR="00201F58">
        <w:rPr>
          <w:b/>
          <w:spacing w:val="-1"/>
        </w:rPr>
        <w:t>Conversion.</w:t>
      </w:r>
      <w:r w:rsidR="00201F58">
        <w:rPr>
          <w:b/>
          <w:spacing w:val="4"/>
        </w:rPr>
        <w:t xml:space="preserve"> </w:t>
      </w:r>
      <w:r w:rsidR="00AA0718">
        <w:rPr>
          <w:spacing w:val="4"/>
        </w:rPr>
        <w:t xml:space="preserve">Subject to </w:t>
      </w:r>
      <w:r w:rsidR="00AA0718">
        <w:t>§</w:t>
      </w:r>
      <w:r w:rsidR="00AA0718">
        <w:rPr>
          <w:spacing w:val="2"/>
        </w:rPr>
        <w:t xml:space="preserve"> </w:t>
      </w:r>
      <w:r w:rsidR="00AA0718">
        <w:t xml:space="preserve">9 </w:t>
      </w:r>
      <w:r w:rsidR="00AA0718" w:rsidRPr="00102EBA">
        <w:t>(</w:t>
      </w:r>
      <w:r w:rsidR="00AA0718" w:rsidRPr="007D678E">
        <w:rPr>
          <w:b/>
          <w:i/>
        </w:rPr>
        <w:t>Currency for Payments</w:t>
      </w:r>
      <w:r w:rsidR="00AA0718" w:rsidRPr="00102EBA">
        <w:t>)</w:t>
      </w:r>
      <w:r w:rsidR="00AA0718">
        <w:rPr>
          <w:b/>
          <w:i/>
        </w:rPr>
        <w:t xml:space="preserve"> </w:t>
      </w:r>
      <w:r w:rsidR="00AA0718">
        <w:t>of this NBP Appendix, i</w:t>
      </w:r>
      <w:r w:rsidR="00201F58">
        <w:t>f</w:t>
      </w:r>
      <w:r w:rsidR="00201F58">
        <w:rPr>
          <w:spacing w:val="2"/>
        </w:rPr>
        <w:t xml:space="preserve"> </w:t>
      </w:r>
      <w:r w:rsidR="00201F58">
        <w:rPr>
          <w:spacing w:val="-1"/>
        </w:rPr>
        <w:t>any</w:t>
      </w:r>
      <w:r w:rsidR="00201F58">
        <w:rPr>
          <w:spacing w:val="1"/>
        </w:rPr>
        <w:t xml:space="preserve"> </w:t>
      </w:r>
      <w:r w:rsidR="00201F58">
        <w:rPr>
          <w:spacing w:val="-1"/>
        </w:rPr>
        <w:t>amounts</w:t>
      </w:r>
      <w:r w:rsidR="00201F58">
        <w:rPr>
          <w:spacing w:val="2"/>
        </w:rPr>
        <w:t xml:space="preserve"> </w:t>
      </w:r>
      <w:r w:rsidR="00201F58">
        <w:rPr>
          <w:spacing w:val="-1"/>
        </w:rPr>
        <w:t>calculated,</w:t>
      </w:r>
      <w:r w:rsidR="00201F58">
        <w:rPr>
          <w:spacing w:val="2"/>
        </w:rPr>
        <w:t xml:space="preserve"> </w:t>
      </w:r>
      <w:r w:rsidR="00201F58">
        <w:rPr>
          <w:spacing w:val="-1"/>
        </w:rPr>
        <w:t>payable,</w:t>
      </w:r>
      <w:r w:rsidR="00201F58">
        <w:rPr>
          <w:spacing w:val="2"/>
        </w:rPr>
        <w:t xml:space="preserve"> </w:t>
      </w:r>
      <w:r w:rsidR="00201F58">
        <w:rPr>
          <w:spacing w:val="-1"/>
        </w:rPr>
        <w:t>quoted</w:t>
      </w:r>
      <w:r w:rsidR="00201F58">
        <w:t xml:space="preserve"> or</w:t>
      </w:r>
      <w:r w:rsidR="00201F58">
        <w:rPr>
          <w:spacing w:val="2"/>
        </w:rPr>
        <w:t xml:space="preserve"> </w:t>
      </w:r>
      <w:r w:rsidR="00201F58">
        <w:rPr>
          <w:spacing w:val="-1"/>
        </w:rPr>
        <w:t>incurred</w:t>
      </w:r>
      <w:r w:rsidR="00201F58">
        <w:t xml:space="preserve"> </w:t>
      </w:r>
      <w:r w:rsidR="00201F58">
        <w:rPr>
          <w:spacing w:val="-1"/>
        </w:rPr>
        <w:t>in respect of Individual NBP Contracts are</w:t>
      </w:r>
      <w:r w:rsidR="00201F58">
        <w:rPr>
          <w:spacing w:val="42"/>
        </w:rPr>
        <w:t xml:space="preserve"> </w:t>
      </w:r>
      <w:r w:rsidR="00201F58">
        <w:rPr>
          <w:spacing w:val="-1"/>
        </w:rPr>
        <w:t>in</w:t>
      </w:r>
      <w:r w:rsidR="00201F58">
        <w:rPr>
          <w:spacing w:val="41"/>
        </w:rPr>
        <w:t xml:space="preserve"> </w:t>
      </w:r>
      <w:r w:rsidR="00201F58" w:rsidRPr="008B722A">
        <w:rPr>
          <w:spacing w:val="-1"/>
        </w:rPr>
        <w:t xml:space="preserve">pounds sterling or another </w:t>
      </w:r>
      <w:r w:rsidR="00201F58">
        <w:rPr>
          <w:spacing w:val="-1"/>
        </w:rPr>
        <w:t>currency</w:t>
      </w:r>
      <w:r w:rsidR="00201F58">
        <w:rPr>
          <w:spacing w:val="40"/>
        </w:rPr>
        <w:t xml:space="preserve"> </w:t>
      </w:r>
      <w:r w:rsidR="00201F58">
        <w:rPr>
          <w:spacing w:val="-1"/>
        </w:rPr>
        <w:t>other</w:t>
      </w:r>
      <w:r w:rsidR="00201F58">
        <w:rPr>
          <w:spacing w:val="41"/>
        </w:rPr>
        <w:t xml:space="preserve"> </w:t>
      </w:r>
      <w:r w:rsidR="00201F58">
        <w:rPr>
          <w:spacing w:val="-1"/>
        </w:rPr>
        <w:t>than</w:t>
      </w:r>
      <w:r w:rsidR="00201F58">
        <w:rPr>
          <w:spacing w:val="42"/>
        </w:rPr>
        <w:t xml:space="preserve"> </w:t>
      </w:r>
      <w:r w:rsidR="00201F58">
        <w:rPr>
          <w:spacing w:val="-1"/>
        </w:rPr>
        <w:t>the</w:t>
      </w:r>
      <w:r w:rsidR="00201F58">
        <w:rPr>
          <w:spacing w:val="42"/>
        </w:rPr>
        <w:t xml:space="preserve"> </w:t>
      </w:r>
      <w:r w:rsidR="00201F58">
        <w:rPr>
          <w:spacing w:val="-1"/>
        </w:rPr>
        <w:t>Euro,</w:t>
      </w:r>
      <w:r w:rsidR="00201F58">
        <w:rPr>
          <w:spacing w:val="41"/>
        </w:rPr>
        <w:t xml:space="preserve"> </w:t>
      </w:r>
      <w:r w:rsidR="00201F58">
        <w:rPr>
          <w:spacing w:val="-1"/>
        </w:rPr>
        <w:t>the</w:t>
      </w:r>
      <w:r w:rsidR="00201F58">
        <w:rPr>
          <w:spacing w:val="41"/>
        </w:rPr>
        <w:t xml:space="preserve"> </w:t>
      </w:r>
      <w:r w:rsidR="00201F58">
        <w:rPr>
          <w:spacing w:val="-1"/>
        </w:rPr>
        <w:t>Party calculating,</w:t>
      </w:r>
      <w:r w:rsidR="00201F58">
        <w:rPr>
          <w:spacing w:val="41"/>
        </w:rPr>
        <w:t xml:space="preserve"> </w:t>
      </w:r>
      <w:r w:rsidR="00201F58">
        <w:rPr>
          <w:spacing w:val="-1"/>
        </w:rPr>
        <w:t>netting,</w:t>
      </w:r>
      <w:r w:rsidR="00201F58">
        <w:rPr>
          <w:spacing w:val="42"/>
        </w:rPr>
        <w:t xml:space="preserve"> </w:t>
      </w:r>
      <w:r w:rsidR="00201F58">
        <w:rPr>
          <w:spacing w:val="-1"/>
        </w:rPr>
        <w:t>setting</w:t>
      </w:r>
      <w:r w:rsidR="00201F58">
        <w:rPr>
          <w:spacing w:val="41"/>
        </w:rPr>
        <w:t xml:space="preserve"> </w:t>
      </w:r>
      <w:r w:rsidR="00201F58">
        <w:rPr>
          <w:spacing w:val="-1"/>
        </w:rPr>
        <w:t>off</w:t>
      </w:r>
      <w:r w:rsidR="00201F58">
        <w:rPr>
          <w:spacing w:val="41"/>
        </w:rPr>
        <w:t xml:space="preserve"> </w:t>
      </w:r>
      <w:r w:rsidR="00201F58">
        <w:t>or</w:t>
      </w:r>
      <w:r w:rsidR="00201F58">
        <w:rPr>
          <w:spacing w:val="77"/>
        </w:rPr>
        <w:t xml:space="preserve"> </w:t>
      </w:r>
      <w:r w:rsidR="00201F58">
        <w:rPr>
          <w:spacing w:val="-1"/>
        </w:rPr>
        <w:t>otherwise working</w:t>
      </w:r>
      <w:r w:rsidR="00201F58">
        <w:rPr>
          <w:spacing w:val="15"/>
        </w:rPr>
        <w:t xml:space="preserve"> </w:t>
      </w:r>
      <w:r w:rsidR="00201F58">
        <w:rPr>
          <w:spacing w:val="-1"/>
        </w:rPr>
        <w:t>with</w:t>
      </w:r>
      <w:r w:rsidR="00201F58">
        <w:rPr>
          <w:spacing w:val="14"/>
        </w:rPr>
        <w:t xml:space="preserve"> </w:t>
      </w:r>
      <w:r w:rsidR="00201F58">
        <w:rPr>
          <w:spacing w:val="-1"/>
        </w:rPr>
        <w:t>such</w:t>
      </w:r>
      <w:r w:rsidR="00201F58">
        <w:rPr>
          <w:spacing w:val="14"/>
        </w:rPr>
        <w:t xml:space="preserve"> </w:t>
      </w:r>
      <w:r w:rsidR="00201F58">
        <w:rPr>
          <w:spacing w:val="-1"/>
        </w:rPr>
        <w:t>amount</w:t>
      </w:r>
      <w:r w:rsidR="00201F58">
        <w:rPr>
          <w:spacing w:val="14"/>
        </w:rPr>
        <w:t xml:space="preserve"> </w:t>
      </w:r>
      <w:r w:rsidR="00201F58">
        <w:rPr>
          <w:spacing w:val="-2"/>
        </w:rPr>
        <w:t>may,</w:t>
      </w:r>
      <w:r w:rsidR="00201F58">
        <w:rPr>
          <w:spacing w:val="15"/>
        </w:rPr>
        <w:t xml:space="preserve"> </w:t>
      </w:r>
      <w:r w:rsidR="00201F58">
        <w:rPr>
          <w:spacing w:val="-1"/>
        </w:rPr>
        <w:t>in</w:t>
      </w:r>
      <w:r w:rsidR="00201F58">
        <w:rPr>
          <w:spacing w:val="15"/>
        </w:rPr>
        <w:t xml:space="preserve"> </w:t>
      </w:r>
      <w:r w:rsidR="00201F58">
        <w:rPr>
          <w:spacing w:val="-1"/>
        </w:rPr>
        <w:t>good</w:t>
      </w:r>
      <w:r w:rsidR="00201F58">
        <w:rPr>
          <w:spacing w:val="14"/>
        </w:rPr>
        <w:t xml:space="preserve"> </w:t>
      </w:r>
      <w:r w:rsidR="00201F58">
        <w:rPr>
          <w:spacing w:val="-1"/>
        </w:rPr>
        <w:t>faith</w:t>
      </w:r>
      <w:r w:rsidR="00201F58">
        <w:rPr>
          <w:spacing w:val="15"/>
        </w:rPr>
        <w:t xml:space="preserve"> </w:t>
      </w:r>
      <w:r w:rsidR="00201F58">
        <w:rPr>
          <w:spacing w:val="-1"/>
        </w:rPr>
        <w:t>convert</w:t>
      </w:r>
      <w:r w:rsidR="00201F58">
        <w:rPr>
          <w:spacing w:val="14"/>
        </w:rPr>
        <w:t xml:space="preserve"> </w:t>
      </w:r>
      <w:r w:rsidR="00201F58">
        <w:rPr>
          <w:spacing w:val="-1"/>
        </w:rPr>
        <w:t>such</w:t>
      </w:r>
      <w:r w:rsidR="00201F58">
        <w:rPr>
          <w:spacing w:val="15"/>
        </w:rPr>
        <w:t xml:space="preserve"> </w:t>
      </w:r>
      <w:r w:rsidR="00201F58">
        <w:rPr>
          <w:spacing w:val="-1"/>
        </w:rPr>
        <w:t>amount</w:t>
      </w:r>
      <w:r w:rsidR="00201F58">
        <w:rPr>
          <w:spacing w:val="14"/>
        </w:rPr>
        <w:t xml:space="preserve"> </w:t>
      </w:r>
      <w:r w:rsidR="00201F58">
        <w:rPr>
          <w:spacing w:val="-1"/>
        </w:rPr>
        <w:t>into</w:t>
      </w:r>
      <w:r w:rsidR="00201F58">
        <w:rPr>
          <w:spacing w:val="15"/>
        </w:rPr>
        <w:t xml:space="preserve"> </w:t>
      </w:r>
      <w:r w:rsidR="00201F58">
        <w:rPr>
          <w:spacing w:val="-1"/>
        </w:rPr>
        <w:t>its</w:t>
      </w:r>
      <w:r w:rsidR="00201F58">
        <w:rPr>
          <w:spacing w:val="14"/>
        </w:rPr>
        <w:t xml:space="preserve"> </w:t>
      </w:r>
      <w:r w:rsidR="00201F58">
        <w:rPr>
          <w:spacing w:val="-1"/>
        </w:rPr>
        <w:t>Euro</w:t>
      </w:r>
      <w:r w:rsidR="00201F58">
        <w:rPr>
          <w:spacing w:val="15"/>
        </w:rPr>
        <w:t xml:space="preserve"> </w:t>
      </w:r>
      <w:r w:rsidR="00201F58">
        <w:rPr>
          <w:spacing w:val="-1"/>
        </w:rPr>
        <w:t>equivalent</w:t>
      </w:r>
      <w:r w:rsidR="00201F58">
        <w:rPr>
          <w:spacing w:val="14"/>
        </w:rPr>
        <w:t xml:space="preserve"> </w:t>
      </w:r>
      <w:r w:rsidR="00201F58">
        <w:rPr>
          <w:spacing w:val="-1"/>
        </w:rPr>
        <w:t>for</w:t>
      </w:r>
      <w:r w:rsidR="00201F58">
        <w:rPr>
          <w:spacing w:val="81"/>
        </w:rPr>
        <w:t xml:space="preserve"> </w:t>
      </w:r>
      <w:r w:rsidR="00201F58">
        <w:rPr>
          <w:spacing w:val="-1"/>
        </w:rPr>
        <w:t>such purposes</w:t>
      </w:r>
      <w:r w:rsidR="00201F58">
        <w:rPr>
          <w:spacing w:val="-2"/>
        </w:rPr>
        <w:t xml:space="preserve"> </w:t>
      </w:r>
      <w:r w:rsidR="00201F58">
        <w:rPr>
          <w:spacing w:val="-1"/>
        </w:rPr>
        <w:t>using</w:t>
      </w:r>
      <w:r w:rsidR="00201F58">
        <w:t xml:space="preserve"> a</w:t>
      </w:r>
      <w:r w:rsidR="00201F58">
        <w:rPr>
          <w:spacing w:val="-1"/>
        </w:rPr>
        <w:t xml:space="preserve"> conversion rate</w:t>
      </w:r>
      <w:r w:rsidR="00201F58">
        <w:t xml:space="preserve"> </w:t>
      </w:r>
      <w:r w:rsidR="00201F58">
        <w:rPr>
          <w:spacing w:val="-1"/>
        </w:rPr>
        <w:t>commercially reasonable</w:t>
      </w:r>
      <w:r w:rsidR="00201F58">
        <w:t xml:space="preserve"> at</w:t>
      </w:r>
      <w:r w:rsidR="00201F58">
        <w:rPr>
          <w:spacing w:val="-2"/>
        </w:rPr>
        <w:t xml:space="preserve"> </w:t>
      </w:r>
      <w:r w:rsidR="00201F58">
        <w:rPr>
          <w:spacing w:val="-1"/>
        </w:rPr>
        <w:t>such</w:t>
      </w:r>
      <w:r w:rsidR="00201F58">
        <w:rPr>
          <w:spacing w:val="1"/>
        </w:rPr>
        <w:t xml:space="preserve"> </w:t>
      </w:r>
      <w:r w:rsidR="00201F58">
        <w:rPr>
          <w:spacing w:val="-2"/>
        </w:rPr>
        <w:t>time</w:t>
      </w:r>
      <w:r w:rsidR="00256F0B">
        <w:t>"</w:t>
      </w:r>
      <w:r w:rsidR="004C12C3">
        <w:t>; and</w:t>
      </w:r>
    </w:p>
    <w:p w14:paraId="175FD3B7" w14:textId="77777777" w:rsidR="00877206" w:rsidRDefault="00877206" w:rsidP="00A364E4">
      <w:pPr>
        <w:ind w:left="957"/>
        <w:jc w:val="both"/>
      </w:pPr>
    </w:p>
    <w:p w14:paraId="5249C0F7" w14:textId="77777777" w:rsidR="00877206" w:rsidRDefault="00877206" w:rsidP="00A364E4">
      <w:pPr>
        <w:numPr>
          <w:ilvl w:val="0"/>
          <w:numId w:val="14"/>
        </w:numPr>
        <w:jc w:val="both"/>
      </w:pPr>
      <w:r>
        <w:t>in Part II</w:t>
      </w:r>
      <w:r w:rsidR="00256F0B">
        <w:t xml:space="preserve"> (</w:t>
      </w:r>
      <w:r w:rsidR="00256F0B" w:rsidRPr="00256F0B">
        <w:rPr>
          <w:b/>
          <w:i/>
        </w:rPr>
        <w:t>Elections for Customi</w:t>
      </w:r>
      <w:r w:rsidR="002B190F">
        <w:rPr>
          <w:b/>
          <w:i/>
        </w:rPr>
        <w:t>s</w:t>
      </w:r>
      <w:r w:rsidR="00256F0B" w:rsidRPr="00256F0B">
        <w:rPr>
          <w:b/>
          <w:i/>
        </w:rPr>
        <w:t>ation of Provisions of this NBP Appendix</w:t>
      </w:r>
      <w:r w:rsidR="00256F0B">
        <w:t>)</w:t>
      </w:r>
      <w:r>
        <w:t>, the election</w:t>
      </w:r>
      <w:r w:rsidR="001B40AC">
        <w:t>s</w:t>
      </w:r>
      <w:r>
        <w:t xml:space="preserve"> in respect of  § 9 </w:t>
      </w:r>
      <w:r w:rsidR="001B40AC">
        <w:t xml:space="preserve">and § 11 </w:t>
      </w:r>
      <w:r>
        <w:t>shall be deleted.</w:t>
      </w:r>
    </w:p>
    <w:p w14:paraId="727C9806" w14:textId="77777777" w:rsidR="00DB6D0B" w:rsidRDefault="00DB6D0B" w:rsidP="00A364E4">
      <w:pPr>
        <w:jc w:val="both"/>
      </w:pPr>
    </w:p>
    <w:p w14:paraId="30E10548" w14:textId="77777777" w:rsidR="00F71697" w:rsidRDefault="00256F0B" w:rsidP="00256F0B">
      <w:pPr>
        <w:ind w:left="567" w:hanging="567"/>
        <w:jc w:val="both"/>
      </w:pPr>
      <w:r>
        <w:t>3.</w:t>
      </w:r>
      <w:r>
        <w:tab/>
      </w:r>
      <w:r w:rsidR="00DB6D0B" w:rsidRPr="00DB6D0B">
        <w:t xml:space="preserve">We </w:t>
      </w:r>
      <w:r>
        <w:t xml:space="preserve">further </w:t>
      </w:r>
      <w:r w:rsidR="00DB6D0B" w:rsidRPr="00DB6D0B">
        <w:t>acknowledge that the Day that starts at 0600 hours (</w:t>
      </w:r>
      <w:r>
        <w:t>London t</w:t>
      </w:r>
      <w:r w:rsidR="00DB6D0B">
        <w:t>ime) on 30</w:t>
      </w:r>
      <w:r w:rsidR="00DB6D0B" w:rsidRPr="00DB6D0B">
        <w:rPr>
          <w:vertAlign w:val="superscript"/>
        </w:rPr>
        <w:t>th</w:t>
      </w:r>
      <w:r w:rsidR="00DB6D0B">
        <w:t xml:space="preserve"> </w:t>
      </w:r>
      <w:r w:rsidR="00DB6D0B" w:rsidRPr="00DB6D0B">
        <w:t>September 2015 and ends at 0500 hours (</w:t>
      </w:r>
      <w:r>
        <w:t>London t</w:t>
      </w:r>
      <w:r w:rsidR="00DB6D0B">
        <w:t>ime) on 1</w:t>
      </w:r>
      <w:r w:rsidR="00DB6D0B" w:rsidRPr="00DB6D0B">
        <w:rPr>
          <w:vertAlign w:val="superscript"/>
        </w:rPr>
        <w:t>st</w:t>
      </w:r>
      <w:r w:rsidR="00DB6D0B">
        <w:t xml:space="preserve"> </w:t>
      </w:r>
      <w:r w:rsidR="00DB6D0B" w:rsidRPr="00DB6D0B">
        <w:t xml:space="preserve">October 2015 consists of only 23 hours and we agree that there shall be no change to the </w:t>
      </w:r>
      <w:r>
        <w:t>Contract</w:t>
      </w:r>
      <w:r w:rsidR="00DB6D0B" w:rsidRPr="00DB6D0B">
        <w:t xml:space="preserve"> Quantity for any </w:t>
      </w:r>
      <w:r>
        <w:rPr>
          <w:spacing w:val="-1"/>
        </w:rPr>
        <w:t xml:space="preserve">Individual NBP Contract </w:t>
      </w:r>
      <w:r w:rsidR="00DB6D0B" w:rsidRPr="00DB6D0B">
        <w:t>for such a Day which shall each be delivered in 23 hours.</w:t>
      </w:r>
    </w:p>
    <w:p w14:paraId="43947299" w14:textId="77777777" w:rsidR="00DB6D0B" w:rsidRDefault="00DB6D0B" w:rsidP="00FE4062">
      <w:pPr>
        <w:jc w:val="both"/>
      </w:pPr>
    </w:p>
    <w:p w14:paraId="30FD3073" w14:textId="77777777" w:rsidR="00256F0B" w:rsidRDefault="00256F0B" w:rsidP="00FE4062">
      <w:pPr>
        <w:jc w:val="both"/>
      </w:pPr>
    </w:p>
    <w:p w14:paraId="7C386F96" w14:textId="77777777" w:rsidR="00FE4062" w:rsidRPr="00A705AA" w:rsidRDefault="00FE4062" w:rsidP="00FE4062">
      <w:pPr>
        <w:jc w:val="both"/>
      </w:pPr>
      <w:r w:rsidRPr="00A705AA">
        <w:t xml:space="preserve">Yours </w:t>
      </w:r>
      <w:r w:rsidR="0025473E">
        <w:t>faithfully</w:t>
      </w:r>
    </w:p>
    <w:p w14:paraId="1C1DB618" w14:textId="77777777" w:rsidR="00FE4062" w:rsidRPr="00A705AA" w:rsidRDefault="00FE4062" w:rsidP="00FE4062">
      <w:pPr>
        <w:jc w:val="both"/>
      </w:pPr>
    </w:p>
    <w:p w14:paraId="3ADF8013" w14:textId="77777777" w:rsidR="00FE4062" w:rsidRPr="00A705AA" w:rsidRDefault="00FE4062" w:rsidP="00FE4062">
      <w:pPr>
        <w:jc w:val="both"/>
      </w:pPr>
    </w:p>
    <w:p w14:paraId="2B412C13" w14:textId="77777777" w:rsidR="00FE4062" w:rsidRPr="00A705AA" w:rsidRDefault="00FE4062" w:rsidP="00FE4062">
      <w:pPr>
        <w:jc w:val="both"/>
      </w:pPr>
    </w:p>
    <w:p w14:paraId="7E44A034" w14:textId="77777777" w:rsidR="00FE4062" w:rsidRPr="00A705AA" w:rsidRDefault="00256F0B" w:rsidP="00FE4062">
      <w:pPr>
        <w:jc w:val="both"/>
      </w:pPr>
      <w:r>
        <w:t>…………………………………………………………</w:t>
      </w:r>
    </w:p>
    <w:p w14:paraId="29C2D9C9" w14:textId="77777777" w:rsidR="00FE4062" w:rsidRPr="00A705AA" w:rsidRDefault="00FE4062" w:rsidP="00FE4062">
      <w:pPr>
        <w:jc w:val="both"/>
      </w:pPr>
      <w:r w:rsidRPr="00A705AA">
        <w:t>For and on behalf of</w:t>
      </w:r>
    </w:p>
    <w:p w14:paraId="3329C744" w14:textId="77777777" w:rsidR="00FE4062" w:rsidRPr="00A705AA" w:rsidRDefault="00FE4062" w:rsidP="00FE4062">
      <w:pPr>
        <w:jc w:val="both"/>
      </w:pPr>
      <w:r w:rsidRPr="00A705AA">
        <w:t>[COMPANY’S NAME]</w:t>
      </w:r>
    </w:p>
    <w:p w14:paraId="64CE4DF9" w14:textId="77777777" w:rsidR="00FE4062" w:rsidRPr="00A705AA" w:rsidRDefault="00FE4062" w:rsidP="00FE4062">
      <w:pPr>
        <w:jc w:val="both"/>
      </w:pPr>
    </w:p>
    <w:p w14:paraId="5992343B" w14:textId="77777777" w:rsidR="00FE4062" w:rsidRPr="00A705AA" w:rsidRDefault="00FE4062" w:rsidP="00FE4062">
      <w:pPr>
        <w:jc w:val="both"/>
      </w:pPr>
    </w:p>
    <w:p w14:paraId="58EA8F0D" w14:textId="77777777" w:rsidR="00FE4062" w:rsidRPr="00A705AA" w:rsidRDefault="00FE4062" w:rsidP="00FE4062">
      <w:pPr>
        <w:jc w:val="both"/>
      </w:pPr>
    </w:p>
    <w:p w14:paraId="397EDAD6" w14:textId="77777777" w:rsidR="00FE4062" w:rsidRPr="00A705AA" w:rsidRDefault="00FE4062" w:rsidP="00FE4062">
      <w:pPr>
        <w:jc w:val="both"/>
      </w:pPr>
    </w:p>
    <w:p w14:paraId="529E19E9" w14:textId="77777777" w:rsidR="00FE4062" w:rsidRPr="00A705AA" w:rsidRDefault="00FE4062" w:rsidP="00FE4062">
      <w:pPr>
        <w:jc w:val="both"/>
      </w:pPr>
      <w:r w:rsidRPr="00A705AA">
        <w:t>We agree with and consent to</w:t>
      </w:r>
      <w:r w:rsidR="00304118">
        <w:t xml:space="preserve"> the</w:t>
      </w:r>
      <w:r w:rsidRPr="00A705AA">
        <w:t xml:space="preserve"> amendment of the </w:t>
      </w:r>
      <w:r w:rsidR="0017552E">
        <w:t xml:space="preserve">Current </w:t>
      </w:r>
      <w:r w:rsidR="00F71697">
        <w:t>NBP</w:t>
      </w:r>
      <w:r w:rsidR="00A705AA">
        <w:t xml:space="preserve"> Appendix </w:t>
      </w:r>
      <w:r w:rsidR="005708D0">
        <w:t>on</w:t>
      </w:r>
      <w:r w:rsidRPr="00A705AA">
        <w:t xml:space="preserve"> the terms </w:t>
      </w:r>
      <w:r w:rsidR="005708D0">
        <w:t>set out</w:t>
      </w:r>
      <w:r w:rsidRPr="00A705AA">
        <w:t xml:space="preserve"> in </w:t>
      </w:r>
      <w:r w:rsidR="0017552E">
        <w:t>t</w:t>
      </w:r>
      <w:r w:rsidRPr="00A705AA">
        <w:t xml:space="preserve">his </w:t>
      </w:r>
      <w:r w:rsidR="0017552E">
        <w:t>l</w:t>
      </w:r>
      <w:r w:rsidRPr="00A705AA">
        <w:t>etter</w:t>
      </w:r>
      <w:r w:rsidR="009F449A">
        <w:t xml:space="preserve"> agreement</w:t>
      </w:r>
      <w:r w:rsidRPr="00A705AA">
        <w:t>.</w:t>
      </w:r>
    </w:p>
    <w:p w14:paraId="1654D524" w14:textId="77777777" w:rsidR="00FE4062" w:rsidRPr="00A705AA" w:rsidRDefault="00FE4062" w:rsidP="00FE4062">
      <w:pPr>
        <w:jc w:val="both"/>
      </w:pPr>
    </w:p>
    <w:p w14:paraId="4F818338" w14:textId="77777777" w:rsidR="00FE4062" w:rsidRPr="00A705AA" w:rsidRDefault="00FE4062" w:rsidP="00FE4062">
      <w:pPr>
        <w:jc w:val="both"/>
      </w:pPr>
    </w:p>
    <w:p w14:paraId="3693DD93" w14:textId="77777777" w:rsidR="00FE4062" w:rsidRPr="00A705AA" w:rsidRDefault="00256F0B" w:rsidP="00FE4062">
      <w:pPr>
        <w:jc w:val="both"/>
      </w:pPr>
      <w:r>
        <w:t>…………………………………………………………</w:t>
      </w:r>
    </w:p>
    <w:p w14:paraId="61A82F43" w14:textId="77777777" w:rsidR="00FE4062" w:rsidRPr="00A705AA" w:rsidRDefault="00FE4062" w:rsidP="00FE4062">
      <w:pPr>
        <w:jc w:val="both"/>
      </w:pPr>
      <w:r w:rsidRPr="00A705AA">
        <w:t xml:space="preserve">For and on behalf of </w:t>
      </w:r>
    </w:p>
    <w:p w14:paraId="0C29F589" w14:textId="77777777" w:rsidR="00FE4062" w:rsidRPr="00A705AA" w:rsidRDefault="00FE4062" w:rsidP="00FE4062">
      <w:pPr>
        <w:jc w:val="both"/>
      </w:pPr>
      <w:r w:rsidRPr="00A705AA">
        <w:lastRenderedPageBreak/>
        <w:t>[COUNTERPARTY’S NAME]</w:t>
      </w:r>
    </w:p>
    <w:p w14:paraId="40BD343A" w14:textId="77777777" w:rsidR="00FE4062" w:rsidRPr="00A705AA" w:rsidRDefault="00FE4062" w:rsidP="00FE4062">
      <w:pPr>
        <w:jc w:val="both"/>
      </w:pPr>
    </w:p>
    <w:p w14:paraId="35897C66" w14:textId="77777777" w:rsidR="00437AAD" w:rsidRPr="00437AAD" w:rsidRDefault="00FE4062" w:rsidP="00437AAD">
      <w:pPr>
        <w:jc w:val="both"/>
      </w:pPr>
      <w:r w:rsidRPr="00A705AA">
        <w:t xml:space="preserve">Dated: [                              </w:t>
      </w:r>
      <w:r w:rsidR="00437AAD">
        <w:tab/>
      </w:r>
      <w:r w:rsidR="00437AAD">
        <w:tab/>
      </w:r>
      <w:r w:rsidR="00437AAD">
        <w:tab/>
      </w:r>
      <w:r w:rsidR="00437AAD">
        <w:tab/>
      </w:r>
      <w:r w:rsidR="00437AAD">
        <w:tab/>
      </w:r>
      <w:r w:rsidR="00437AAD">
        <w:tab/>
      </w:r>
      <w:r w:rsidR="00437AAD">
        <w:tab/>
      </w:r>
      <w:r w:rsidR="00437AAD">
        <w:tab/>
        <w:t>]</w:t>
      </w:r>
    </w:p>
    <w:p w14:paraId="76761B09" w14:textId="77777777" w:rsidR="007A7522" w:rsidRPr="00A705AA" w:rsidRDefault="007A7522" w:rsidP="00437AAD">
      <w:pPr>
        <w:ind w:right="422"/>
      </w:pPr>
    </w:p>
    <w:sectPr w:rsidR="007A7522" w:rsidRPr="00A705AA" w:rsidSect="00715F1C">
      <w:footerReference w:type="default" r:id="rId8"/>
      <w:pgSz w:w="12240" w:h="15840"/>
      <w:pgMar w:top="1440" w:right="1800" w:bottom="1440" w:left="1800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C9914" w14:textId="77777777" w:rsidR="005E716D" w:rsidRDefault="005E716D">
      <w:r>
        <w:separator/>
      </w:r>
    </w:p>
  </w:endnote>
  <w:endnote w:type="continuationSeparator" w:id="0">
    <w:p w14:paraId="2D0D5D5E" w14:textId="77777777" w:rsidR="005E716D" w:rsidRDefault="005E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EBE9" w14:textId="5187D15F" w:rsidR="005E716D" w:rsidRDefault="005E716D" w:rsidP="009F2178">
    <w:pPr>
      <w:pStyle w:val="Footer"/>
      <w:tabs>
        <w:tab w:val="center" w:pos="4680"/>
      </w:tabs>
      <w:ind w:left="-284" w:hanging="567"/>
      <w:rPr>
        <w:sz w:val="16"/>
        <w:lang w:val="fr-FR"/>
      </w:rPr>
    </w:pPr>
    <w:r>
      <w:rPr>
        <w:b/>
        <w:sz w:val="16"/>
      </w:rPr>
      <w:t>Change Letter NBP</w:t>
    </w:r>
    <w:r w:rsidRPr="002E5E1F">
      <w:rPr>
        <w:b/>
        <w:sz w:val="16"/>
      </w:rPr>
      <w:t xml:space="preserve"> Appendix </w:t>
    </w:r>
    <w:r>
      <w:rPr>
        <w:b/>
        <w:sz w:val="16"/>
      </w:rPr>
      <w:t xml:space="preserve">v1.0 to </w:t>
    </w:r>
    <w:r w:rsidRPr="002E5E1F">
      <w:rPr>
        <w:b/>
        <w:sz w:val="16"/>
      </w:rPr>
      <w:t>v</w:t>
    </w:r>
    <w:r>
      <w:rPr>
        <w:b/>
        <w:sz w:val="16"/>
      </w:rPr>
      <w:t>2</w:t>
    </w:r>
    <w:r w:rsidRPr="002E5E1F">
      <w:rPr>
        <w:b/>
        <w:sz w:val="16"/>
      </w:rPr>
      <w:t>.0</w:t>
    </w:r>
    <w:r>
      <w:rPr>
        <w:sz w:val="16"/>
      </w:rPr>
      <w:t xml:space="preserve">    </w:t>
    </w:r>
    <w:r>
      <w:rPr>
        <w:sz w:val="16"/>
      </w:rPr>
      <w:tab/>
      <w:t xml:space="preserve">                                    </w:t>
    </w:r>
    <w:r>
      <w:rPr>
        <w:b/>
        <w:sz w:val="16"/>
      </w:rPr>
      <w:t>Copyright © 2015 by European Federation of Energy Traders (“EFET”)</w:t>
    </w:r>
    <w:r>
      <w:rPr>
        <w:sz w:val="16"/>
      </w:rPr>
      <w:t xml:space="preserve">             </w:t>
    </w:r>
  </w:p>
  <w:p w14:paraId="57EE48DF" w14:textId="60A2CA69" w:rsidR="005E716D" w:rsidRPr="008E0BB4" w:rsidRDefault="005E716D" w:rsidP="0097336C">
    <w:pPr>
      <w:pStyle w:val="Footer"/>
      <w:tabs>
        <w:tab w:val="center" w:pos="4680"/>
      </w:tabs>
      <w:jc w:val="both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81B23" w14:textId="77777777" w:rsidR="005E716D" w:rsidRDefault="005E716D">
      <w:r>
        <w:separator/>
      </w:r>
    </w:p>
  </w:footnote>
  <w:footnote w:type="continuationSeparator" w:id="0">
    <w:p w14:paraId="73E1E835" w14:textId="77777777" w:rsidR="005E716D" w:rsidRDefault="005E7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900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0154B1"/>
    <w:multiLevelType w:val="hybridMultilevel"/>
    <w:tmpl w:val="9FD6598C"/>
    <w:lvl w:ilvl="0" w:tplc="748C93D6">
      <w:start w:val="1"/>
      <w:numFmt w:val="lowerLetter"/>
      <w:lvlText w:val="(%1)"/>
      <w:lvlJc w:val="left"/>
      <w:pPr>
        <w:ind w:left="957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4601D"/>
    <w:multiLevelType w:val="hybridMultilevel"/>
    <w:tmpl w:val="E24410F2"/>
    <w:lvl w:ilvl="0" w:tplc="D4BA692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062E"/>
    <w:multiLevelType w:val="hybridMultilevel"/>
    <w:tmpl w:val="65EC7C3A"/>
    <w:lvl w:ilvl="0" w:tplc="5A168C5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FB6C66"/>
    <w:multiLevelType w:val="hybridMultilevel"/>
    <w:tmpl w:val="01708A16"/>
    <w:lvl w:ilvl="0" w:tplc="4BC6419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2070AE"/>
    <w:multiLevelType w:val="hybridMultilevel"/>
    <w:tmpl w:val="00DEA790"/>
    <w:lvl w:ilvl="0" w:tplc="D4BA692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83FAE"/>
    <w:multiLevelType w:val="hybridMultilevel"/>
    <w:tmpl w:val="8B78DBCE"/>
    <w:lvl w:ilvl="0" w:tplc="D4BA692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51484"/>
    <w:multiLevelType w:val="hybridMultilevel"/>
    <w:tmpl w:val="3C4ED54E"/>
    <w:lvl w:ilvl="0" w:tplc="DC625AE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871158"/>
    <w:multiLevelType w:val="hybridMultilevel"/>
    <w:tmpl w:val="415CEC28"/>
    <w:lvl w:ilvl="0" w:tplc="D4BA692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D7099"/>
    <w:multiLevelType w:val="hybridMultilevel"/>
    <w:tmpl w:val="FEBC3E8E"/>
    <w:lvl w:ilvl="0" w:tplc="D4BA692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A7389"/>
    <w:multiLevelType w:val="hybridMultilevel"/>
    <w:tmpl w:val="4FA24EF8"/>
    <w:lvl w:ilvl="0" w:tplc="D4BA692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341EB"/>
    <w:multiLevelType w:val="hybridMultilevel"/>
    <w:tmpl w:val="2FE82C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E35C7"/>
    <w:multiLevelType w:val="hybridMultilevel"/>
    <w:tmpl w:val="F256966C"/>
    <w:lvl w:ilvl="0" w:tplc="D4BA6928">
      <w:start w:val="1"/>
      <w:numFmt w:val="lowerLetter"/>
      <w:lvlText w:val="(%1)"/>
      <w:lvlJc w:val="left"/>
      <w:pPr>
        <w:ind w:left="720" w:hanging="360"/>
      </w:pPr>
    </w:lvl>
    <w:lvl w:ilvl="1" w:tplc="D4BA6928">
      <w:start w:val="1"/>
      <w:numFmt w:val="lowerLetter"/>
      <w:lvlText w:val="(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25621"/>
    <w:multiLevelType w:val="hybridMultilevel"/>
    <w:tmpl w:val="42EA8D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DB"/>
    <w:rsid w:val="0001245C"/>
    <w:rsid w:val="0001612E"/>
    <w:rsid w:val="000611E5"/>
    <w:rsid w:val="000727E5"/>
    <w:rsid w:val="00075ED1"/>
    <w:rsid w:val="00087290"/>
    <w:rsid w:val="000A0B8F"/>
    <w:rsid w:val="000B09F7"/>
    <w:rsid w:val="000B61BF"/>
    <w:rsid w:val="000B67E5"/>
    <w:rsid w:val="000F44FD"/>
    <w:rsid w:val="001036A7"/>
    <w:rsid w:val="0012035C"/>
    <w:rsid w:val="00132F17"/>
    <w:rsid w:val="0017552E"/>
    <w:rsid w:val="00190777"/>
    <w:rsid w:val="00191118"/>
    <w:rsid w:val="001B40AC"/>
    <w:rsid w:val="001D779B"/>
    <w:rsid w:val="001D7D69"/>
    <w:rsid w:val="001E2771"/>
    <w:rsid w:val="00201F58"/>
    <w:rsid w:val="0021117F"/>
    <w:rsid w:val="00251E94"/>
    <w:rsid w:val="0025473E"/>
    <w:rsid w:val="00256F0B"/>
    <w:rsid w:val="002B190F"/>
    <w:rsid w:val="002C40F5"/>
    <w:rsid w:val="002D64A1"/>
    <w:rsid w:val="002F40A8"/>
    <w:rsid w:val="00304118"/>
    <w:rsid w:val="00310009"/>
    <w:rsid w:val="00313DA7"/>
    <w:rsid w:val="003245CE"/>
    <w:rsid w:val="003431DE"/>
    <w:rsid w:val="00381E39"/>
    <w:rsid w:val="003A2A25"/>
    <w:rsid w:val="003B4ADD"/>
    <w:rsid w:val="003C1BAA"/>
    <w:rsid w:val="003F3749"/>
    <w:rsid w:val="00437AAD"/>
    <w:rsid w:val="00446A67"/>
    <w:rsid w:val="00446A97"/>
    <w:rsid w:val="004600A9"/>
    <w:rsid w:val="00476A6A"/>
    <w:rsid w:val="00484A14"/>
    <w:rsid w:val="00485999"/>
    <w:rsid w:val="004B7245"/>
    <w:rsid w:val="004C12C3"/>
    <w:rsid w:val="004D0BD8"/>
    <w:rsid w:val="004D18B3"/>
    <w:rsid w:val="004D3494"/>
    <w:rsid w:val="004E458C"/>
    <w:rsid w:val="005033ED"/>
    <w:rsid w:val="00505394"/>
    <w:rsid w:val="0052583E"/>
    <w:rsid w:val="00535790"/>
    <w:rsid w:val="005421C7"/>
    <w:rsid w:val="005708D0"/>
    <w:rsid w:val="00574675"/>
    <w:rsid w:val="005966C6"/>
    <w:rsid w:val="005C7829"/>
    <w:rsid w:val="005D15A0"/>
    <w:rsid w:val="005E3B29"/>
    <w:rsid w:val="005E716D"/>
    <w:rsid w:val="0060596E"/>
    <w:rsid w:val="006073BD"/>
    <w:rsid w:val="00617157"/>
    <w:rsid w:val="00624537"/>
    <w:rsid w:val="00630639"/>
    <w:rsid w:val="00630840"/>
    <w:rsid w:val="00632C01"/>
    <w:rsid w:val="00653957"/>
    <w:rsid w:val="0066556F"/>
    <w:rsid w:val="00671644"/>
    <w:rsid w:val="00694123"/>
    <w:rsid w:val="006B75CE"/>
    <w:rsid w:val="006D0BCF"/>
    <w:rsid w:val="006D1670"/>
    <w:rsid w:val="006D2A6D"/>
    <w:rsid w:val="006D5F10"/>
    <w:rsid w:val="006F5BD8"/>
    <w:rsid w:val="006F7CCE"/>
    <w:rsid w:val="007128E7"/>
    <w:rsid w:val="00715F1C"/>
    <w:rsid w:val="00743854"/>
    <w:rsid w:val="00744A0E"/>
    <w:rsid w:val="007933AB"/>
    <w:rsid w:val="007A7522"/>
    <w:rsid w:val="007B63F7"/>
    <w:rsid w:val="007C0DEF"/>
    <w:rsid w:val="007D761F"/>
    <w:rsid w:val="00802AC9"/>
    <w:rsid w:val="008071BD"/>
    <w:rsid w:val="0081484D"/>
    <w:rsid w:val="0085133A"/>
    <w:rsid w:val="00853F92"/>
    <w:rsid w:val="00860A30"/>
    <w:rsid w:val="00865FC8"/>
    <w:rsid w:val="00877206"/>
    <w:rsid w:val="00883785"/>
    <w:rsid w:val="008924E2"/>
    <w:rsid w:val="00896FFE"/>
    <w:rsid w:val="008A00C1"/>
    <w:rsid w:val="008C778C"/>
    <w:rsid w:val="008D338A"/>
    <w:rsid w:val="008E0BB4"/>
    <w:rsid w:val="0093128A"/>
    <w:rsid w:val="009524C2"/>
    <w:rsid w:val="0095425C"/>
    <w:rsid w:val="0097336C"/>
    <w:rsid w:val="009802CA"/>
    <w:rsid w:val="009B1B1B"/>
    <w:rsid w:val="009F2178"/>
    <w:rsid w:val="009F449A"/>
    <w:rsid w:val="00A160DB"/>
    <w:rsid w:val="00A20CEE"/>
    <w:rsid w:val="00A364E4"/>
    <w:rsid w:val="00A474DD"/>
    <w:rsid w:val="00A705AA"/>
    <w:rsid w:val="00A74C98"/>
    <w:rsid w:val="00AA0718"/>
    <w:rsid w:val="00AC56AD"/>
    <w:rsid w:val="00AD4BE9"/>
    <w:rsid w:val="00AF689E"/>
    <w:rsid w:val="00AF7236"/>
    <w:rsid w:val="00B077F3"/>
    <w:rsid w:val="00B3688F"/>
    <w:rsid w:val="00B4539E"/>
    <w:rsid w:val="00B65FB6"/>
    <w:rsid w:val="00B8654E"/>
    <w:rsid w:val="00BB4B29"/>
    <w:rsid w:val="00BC1771"/>
    <w:rsid w:val="00BC4BA7"/>
    <w:rsid w:val="00BE373A"/>
    <w:rsid w:val="00BF6039"/>
    <w:rsid w:val="00C307AA"/>
    <w:rsid w:val="00C63CB4"/>
    <w:rsid w:val="00C70EB0"/>
    <w:rsid w:val="00C8345C"/>
    <w:rsid w:val="00CA05B7"/>
    <w:rsid w:val="00CC2833"/>
    <w:rsid w:val="00D1629E"/>
    <w:rsid w:val="00D367DF"/>
    <w:rsid w:val="00D672F6"/>
    <w:rsid w:val="00D84947"/>
    <w:rsid w:val="00D871EB"/>
    <w:rsid w:val="00DA06D4"/>
    <w:rsid w:val="00DB551B"/>
    <w:rsid w:val="00DB6D0B"/>
    <w:rsid w:val="00DC70E0"/>
    <w:rsid w:val="00DC7660"/>
    <w:rsid w:val="00E3045F"/>
    <w:rsid w:val="00E376C2"/>
    <w:rsid w:val="00E53D65"/>
    <w:rsid w:val="00E54C5F"/>
    <w:rsid w:val="00E807CA"/>
    <w:rsid w:val="00E80BCD"/>
    <w:rsid w:val="00EA4F58"/>
    <w:rsid w:val="00EF096C"/>
    <w:rsid w:val="00F06E09"/>
    <w:rsid w:val="00F44135"/>
    <w:rsid w:val="00F71697"/>
    <w:rsid w:val="00F90215"/>
    <w:rsid w:val="00F92908"/>
    <w:rsid w:val="00F92A52"/>
    <w:rsid w:val="00FC38AB"/>
    <w:rsid w:val="00FE208C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A85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92A52"/>
    <w:pPr>
      <w:keepNext/>
      <w:jc w:val="center"/>
      <w:outlineLvl w:val="1"/>
    </w:pPr>
    <w:rPr>
      <w:b/>
      <w:sz w:val="4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92A52"/>
    <w:pPr>
      <w:keepNext/>
      <w:ind w:left="2160" w:hanging="2160"/>
      <w:jc w:val="both"/>
      <w:outlineLvl w:val="2"/>
    </w:pPr>
    <w:rPr>
      <w:b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F92A52"/>
    <w:pPr>
      <w:keepNext/>
      <w:tabs>
        <w:tab w:val="left" w:pos="2520"/>
      </w:tabs>
      <w:ind w:left="2520" w:hanging="2160"/>
      <w:jc w:val="both"/>
      <w:outlineLvl w:val="3"/>
    </w:pPr>
    <w:rPr>
      <w:b/>
      <w:sz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F92A5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F92A52"/>
    <w:pPr>
      <w:keepNext/>
      <w:tabs>
        <w:tab w:val="left" w:pos="3240"/>
      </w:tabs>
      <w:ind w:left="2880" w:hanging="2880"/>
      <w:jc w:val="both"/>
      <w:outlineLvl w:val="5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</w:pPr>
  </w:style>
  <w:style w:type="paragraph" w:styleId="BodyTextIndent2">
    <w:name w:val="Body Text Indent 2"/>
    <w:basedOn w:val="Normal"/>
    <w:pPr>
      <w:ind w:left="360" w:hanging="360"/>
    </w:pPr>
  </w:style>
  <w:style w:type="paragraph" w:styleId="Header">
    <w:name w:val="header"/>
    <w:basedOn w:val="Normal"/>
    <w:rsid w:val="00D367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67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67DF"/>
  </w:style>
  <w:style w:type="paragraph" w:customStyle="1" w:styleId="ColorfulList-Accent11">
    <w:name w:val="Colorful List - Accent 11"/>
    <w:basedOn w:val="Normal"/>
    <w:uiPriority w:val="34"/>
    <w:qFormat/>
    <w:rsid w:val="000727E5"/>
    <w:pPr>
      <w:ind w:left="720"/>
    </w:pPr>
  </w:style>
  <w:style w:type="paragraph" w:styleId="BodyText">
    <w:name w:val="Body Text"/>
    <w:basedOn w:val="Normal"/>
    <w:link w:val="BodyTextChar"/>
    <w:rsid w:val="00F92A52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sid w:val="00F92A52"/>
    <w:rPr>
      <w:sz w:val="24"/>
      <w:szCs w:val="24"/>
      <w:lang w:eastAsia="en-US"/>
    </w:rPr>
  </w:style>
  <w:style w:type="character" w:customStyle="1" w:styleId="Heading2Char">
    <w:name w:val="Heading 2 Char"/>
    <w:link w:val="Heading2"/>
    <w:rsid w:val="00F92A52"/>
    <w:rPr>
      <w:b/>
      <w:sz w:val="44"/>
      <w:szCs w:val="24"/>
      <w:lang w:eastAsia="en-US"/>
    </w:rPr>
  </w:style>
  <w:style w:type="character" w:customStyle="1" w:styleId="Heading3Char">
    <w:name w:val="Heading 3 Char"/>
    <w:link w:val="Heading3"/>
    <w:rsid w:val="00F92A52"/>
    <w:rPr>
      <w:b/>
      <w:szCs w:val="24"/>
      <w:lang w:eastAsia="en-US"/>
    </w:rPr>
  </w:style>
  <w:style w:type="character" w:customStyle="1" w:styleId="Heading4Char">
    <w:name w:val="Heading 4 Char"/>
    <w:link w:val="Heading4"/>
    <w:rsid w:val="00F92A52"/>
    <w:rPr>
      <w:b/>
      <w:szCs w:val="24"/>
      <w:lang w:eastAsia="en-US"/>
    </w:rPr>
  </w:style>
  <w:style w:type="character" w:customStyle="1" w:styleId="Heading5Char">
    <w:name w:val="Heading 5 Char"/>
    <w:link w:val="Heading5"/>
    <w:rsid w:val="00F92A52"/>
    <w:rPr>
      <w:b/>
      <w:sz w:val="24"/>
      <w:szCs w:val="24"/>
      <w:lang w:val="en-US" w:eastAsia="en-US"/>
    </w:rPr>
  </w:style>
  <w:style w:type="character" w:customStyle="1" w:styleId="Heading6Char">
    <w:name w:val="Heading 6 Char"/>
    <w:link w:val="Heading6"/>
    <w:rsid w:val="00F92A52"/>
    <w:rPr>
      <w:b/>
      <w:szCs w:val="24"/>
      <w:lang w:eastAsia="en-US"/>
    </w:rPr>
  </w:style>
  <w:style w:type="paragraph" w:customStyle="1" w:styleId="Body1">
    <w:name w:val="Body 1"/>
    <w:basedOn w:val="Body"/>
    <w:rsid w:val="00F92A52"/>
  </w:style>
  <w:style w:type="paragraph" w:customStyle="1" w:styleId="Body">
    <w:name w:val="Body"/>
    <w:basedOn w:val="Normal"/>
    <w:rsid w:val="00F92A52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/>
    </w:rPr>
  </w:style>
  <w:style w:type="character" w:customStyle="1" w:styleId="Heading1Text">
    <w:name w:val="Heading 1 Text"/>
    <w:rsid w:val="00F92A52"/>
    <w:rPr>
      <w:b/>
      <w:smallCaps/>
      <w:sz w:val="20"/>
    </w:rPr>
  </w:style>
  <w:style w:type="paragraph" w:customStyle="1" w:styleId="Level3">
    <w:name w:val="Level 3"/>
    <w:basedOn w:val="Body3"/>
    <w:next w:val="Body3"/>
    <w:rsid w:val="00F92A52"/>
    <w:pPr>
      <w:tabs>
        <w:tab w:val="left" w:pos="1417"/>
      </w:tabs>
      <w:ind w:left="1417" w:hanging="708"/>
    </w:pPr>
  </w:style>
  <w:style w:type="paragraph" w:customStyle="1" w:styleId="Body3">
    <w:name w:val="Body 3"/>
    <w:basedOn w:val="Normal"/>
    <w:rsid w:val="00F92A52"/>
    <w:pPr>
      <w:widowControl w:val="0"/>
      <w:spacing w:after="210" w:line="264" w:lineRule="auto"/>
      <w:ind w:left="1418"/>
      <w:jc w:val="both"/>
    </w:pPr>
    <w:rPr>
      <w:rFonts w:ascii="Arial" w:hAnsi="Arial"/>
      <w:kern w:val="28"/>
      <w:sz w:val="21"/>
      <w:lang w:val="en-GB"/>
    </w:rPr>
  </w:style>
  <w:style w:type="paragraph" w:customStyle="1" w:styleId="TableParagraph">
    <w:name w:val="Table Paragraph"/>
    <w:basedOn w:val="Normal"/>
    <w:uiPriority w:val="1"/>
    <w:qFormat/>
    <w:rsid w:val="00FC38AB"/>
    <w:pPr>
      <w:widowControl w:val="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B40A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1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92A52"/>
    <w:pPr>
      <w:keepNext/>
      <w:jc w:val="center"/>
      <w:outlineLvl w:val="1"/>
    </w:pPr>
    <w:rPr>
      <w:b/>
      <w:sz w:val="4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92A52"/>
    <w:pPr>
      <w:keepNext/>
      <w:ind w:left="2160" w:hanging="2160"/>
      <w:jc w:val="both"/>
      <w:outlineLvl w:val="2"/>
    </w:pPr>
    <w:rPr>
      <w:b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F92A52"/>
    <w:pPr>
      <w:keepNext/>
      <w:tabs>
        <w:tab w:val="left" w:pos="2520"/>
      </w:tabs>
      <w:ind w:left="2520" w:hanging="2160"/>
      <w:jc w:val="both"/>
      <w:outlineLvl w:val="3"/>
    </w:pPr>
    <w:rPr>
      <w:b/>
      <w:sz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F92A5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F92A52"/>
    <w:pPr>
      <w:keepNext/>
      <w:tabs>
        <w:tab w:val="left" w:pos="3240"/>
      </w:tabs>
      <w:ind w:left="2880" w:hanging="2880"/>
      <w:jc w:val="both"/>
      <w:outlineLvl w:val="5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</w:pPr>
  </w:style>
  <w:style w:type="paragraph" w:styleId="BodyTextIndent2">
    <w:name w:val="Body Text Indent 2"/>
    <w:basedOn w:val="Normal"/>
    <w:pPr>
      <w:ind w:left="360" w:hanging="360"/>
    </w:pPr>
  </w:style>
  <w:style w:type="paragraph" w:styleId="Header">
    <w:name w:val="header"/>
    <w:basedOn w:val="Normal"/>
    <w:rsid w:val="00D367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67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67DF"/>
  </w:style>
  <w:style w:type="paragraph" w:customStyle="1" w:styleId="ColorfulList-Accent11">
    <w:name w:val="Colorful List - Accent 11"/>
    <w:basedOn w:val="Normal"/>
    <w:uiPriority w:val="34"/>
    <w:qFormat/>
    <w:rsid w:val="000727E5"/>
    <w:pPr>
      <w:ind w:left="720"/>
    </w:pPr>
  </w:style>
  <w:style w:type="paragraph" w:styleId="BodyText">
    <w:name w:val="Body Text"/>
    <w:basedOn w:val="Normal"/>
    <w:link w:val="BodyTextChar"/>
    <w:rsid w:val="00F92A52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sid w:val="00F92A52"/>
    <w:rPr>
      <w:sz w:val="24"/>
      <w:szCs w:val="24"/>
      <w:lang w:eastAsia="en-US"/>
    </w:rPr>
  </w:style>
  <w:style w:type="character" w:customStyle="1" w:styleId="Heading2Char">
    <w:name w:val="Heading 2 Char"/>
    <w:link w:val="Heading2"/>
    <w:rsid w:val="00F92A52"/>
    <w:rPr>
      <w:b/>
      <w:sz w:val="44"/>
      <w:szCs w:val="24"/>
      <w:lang w:eastAsia="en-US"/>
    </w:rPr>
  </w:style>
  <w:style w:type="character" w:customStyle="1" w:styleId="Heading3Char">
    <w:name w:val="Heading 3 Char"/>
    <w:link w:val="Heading3"/>
    <w:rsid w:val="00F92A52"/>
    <w:rPr>
      <w:b/>
      <w:szCs w:val="24"/>
      <w:lang w:eastAsia="en-US"/>
    </w:rPr>
  </w:style>
  <w:style w:type="character" w:customStyle="1" w:styleId="Heading4Char">
    <w:name w:val="Heading 4 Char"/>
    <w:link w:val="Heading4"/>
    <w:rsid w:val="00F92A52"/>
    <w:rPr>
      <w:b/>
      <w:szCs w:val="24"/>
      <w:lang w:eastAsia="en-US"/>
    </w:rPr>
  </w:style>
  <w:style w:type="character" w:customStyle="1" w:styleId="Heading5Char">
    <w:name w:val="Heading 5 Char"/>
    <w:link w:val="Heading5"/>
    <w:rsid w:val="00F92A52"/>
    <w:rPr>
      <w:b/>
      <w:sz w:val="24"/>
      <w:szCs w:val="24"/>
      <w:lang w:val="en-US" w:eastAsia="en-US"/>
    </w:rPr>
  </w:style>
  <w:style w:type="character" w:customStyle="1" w:styleId="Heading6Char">
    <w:name w:val="Heading 6 Char"/>
    <w:link w:val="Heading6"/>
    <w:rsid w:val="00F92A52"/>
    <w:rPr>
      <w:b/>
      <w:szCs w:val="24"/>
      <w:lang w:eastAsia="en-US"/>
    </w:rPr>
  </w:style>
  <w:style w:type="paragraph" w:customStyle="1" w:styleId="Body1">
    <w:name w:val="Body 1"/>
    <w:basedOn w:val="Body"/>
    <w:rsid w:val="00F92A52"/>
  </w:style>
  <w:style w:type="paragraph" w:customStyle="1" w:styleId="Body">
    <w:name w:val="Body"/>
    <w:basedOn w:val="Normal"/>
    <w:rsid w:val="00F92A52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/>
    </w:rPr>
  </w:style>
  <w:style w:type="character" w:customStyle="1" w:styleId="Heading1Text">
    <w:name w:val="Heading 1 Text"/>
    <w:rsid w:val="00F92A52"/>
    <w:rPr>
      <w:b/>
      <w:smallCaps/>
      <w:sz w:val="20"/>
    </w:rPr>
  </w:style>
  <w:style w:type="paragraph" w:customStyle="1" w:styleId="Level3">
    <w:name w:val="Level 3"/>
    <w:basedOn w:val="Body3"/>
    <w:next w:val="Body3"/>
    <w:rsid w:val="00F92A52"/>
    <w:pPr>
      <w:tabs>
        <w:tab w:val="left" w:pos="1417"/>
      </w:tabs>
      <w:ind w:left="1417" w:hanging="708"/>
    </w:pPr>
  </w:style>
  <w:style w:type="paragraph" w:customStyle="1" w:styleId="Body3">
    <w:name w:val="Body 3"/>
    <w:basedOn w:val="Normal"/>
    <w:rsid w:val="00F92A52"/>
    <w:pPr>
      <w:widowControl w:val="0"/>
      <w:spacing w:after="210" w:line="264" w:lineRule="auto"/>
      <w:ind w:left="1418"/>
      <w:jc w:val="both"/>
    </w:pPr>
    <w:rPr>
      <w:rFonts w:ascii="Arial" w:hAnsi="Arial"/>
      <w:kern w:val="28"/>
      <w:sz w:val="21"/>
      <w:lang w:val="en-GB"/>
    </w:rPr>
  </w:style>
  <w:style w:type="paragraph" w:customStyle="1" w:styleId="TableParagraph">
    <w:name w:val="Table Paragraph"/>
    <w:basedOn w:val="Normal"/>
    <w:uiPriority w:val="1"/>
    <w:qFormat/>
    <w:rsid w:val="00FC38AB"/>
    <w:pPr>
      <w:widowControl w:val="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B40A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1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Lenka Hajnovicova</cp:lastModifiedBy>
  <cp:revision>3</cp:revision>
  <cp:lastPrinted>2015-08-11T11:07:00Z</cp:lastPrinted>
  <dcterms:created xsi:type="dcterms:W3CDTF">2015-09-07T15:17:00Z</dcterms:created>
  <dcterms:modified xsi:type="dcterms:W3CDTF">2015-09-08T12:22:00Z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ABAAVOAfoSrQoyzbVO4rRG41o6dddKGe1tENuiNDheo4cG57q1C+pAs4KE5oaS9tuE1D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4AAA4Lxe55UJ0C/aD/YuYefc6ih4Zit0sdwT8bNehmpkdjQhyhA7mYu1iw==</vt:lpwstr>
  </property>
</Properties>
</file>